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79" w:rsidRDefault="00255E79" w:rsidP="00FC2FE8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99537C"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会员交易资金电子结算告知书</w:t>
      </w:r>
    </w:p>
    <w:p w:rsidR="00255E79" w:rsidRDefault="00255E79" w:rsidP="001A57FF">
      <w:pPr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:rsidR="00255E79" w:rsidRDefault="00255E79" w:rsidP="001A57FF">
      <w:pPr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全国粮食统一竞价交易系统已升级系统安全认证并</w:t>
      </w:r>
      <w:proofErr w:type="gramStart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增加网银转账</w:t>
      </w:r>
      <w:proofErr w:type="gramEnd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功能，如您于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日后参与粮食竞价交易，须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遵守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国家有关法律、法规、粮食政策、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《粮食竞价销售交易规则》《交易公告》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以及国家粮食交易中心制定的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有关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办法等，并提前到所在地联网的国家粮食交易中心（以下简称“交易中心”）办理交易资金电子结算手续。</w:t>
      </w:r>
      <w:r>
        <w:rPr>
          <w:rFonts w:ascii="仿宋" w:eastAsia="仿宋" w:hAnsi="仿宋" w:hint="eastAsia"/>
          <w:sz w:val="32"/>
          <w:szCs w:val="32"/>
        </w:rPr>
        <w:t>现将有关事项告知如下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：</w:t>
      </w:r>
    </w:p>
    <w:p w:rsidR="00255E79" w:rsidRPr="00311040" w:rsidRDefault="00255E79" w:rsidP="001A57FF">
      <w:pPr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一、如您是企业</w:t>
      </w:r>
      <w:r w:rsidRPr="00BE784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会员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，应与粮食竞价交易系统的</w:t>
      </w:r>
      <w:r w:rsidRPr="008622A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存管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银行同时绑定一个企业银行账户（不能是个人卡）</w:t>
      </w:r>
      <w:r w:rsidRPr="0031104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账户名称必须</w:t>
      </w:r>
      <w:r w:rsidRPr="0031104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与会员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系统</w:t>
      </w:r>
      <w:r w:rsidRPr="0031104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注册的名称一致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，可用于交易资金转账；如您是个人会员，应与粮食竞价交易系统的</w:t>
      </w:r>
      <w:r w:rsidRPr="008622A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存管银行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同时绑定一张个人银行借记卡（不能是信用卡）</w:t>
      </w:r>
      <w:r w:rsidRPr="0031104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银行卡户名必须</w:t>
      </w:r>
      <w:r w:rsidRPr="0031104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与会员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系统</w:t>
      </w:r>
      <w:r w:rsidRPr="0031104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注册的名称一致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，可用于交易资金转账。</w:t>
      </w:r>
    </w:p>
    <w:p w:rsidR="00255E79" w:rsidRDefault="00255E79" w:rsidP="001A57FF">
      <w:pPr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8622A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二、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交易中心通过在存管银行开立的、在</w:t>
      </w:r>
      <w:r w:rsidRPr="008622A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有关部门备案的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资金存管账户（账户信息详见《交易公告》）对您暂存于交易中心的资金进行管理和结算，您的资金可存放在《交易公告》规定的任意一个存管账户内，确保资金安全，结算畅通、方便、快捷。</w:t>
      </w:r>
    </w:p>
    <w:p w:rsidR="00255E79" w:rsidRDefault="00255E79" w:rsidP="001A57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三、您在参与交易前可以通过绑定账户开户行</w:t>
      </w:r>
      <w:proofErr w:type="gramStart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的网银向</w:t>
      </w:r>
      <w:proofErr w:type="gramEnd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交易中心办理转账划款手续，没有</w:t>
      </w:r>
      <w:proofErr w:type="gramStart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开通网银或网银</w:t>
      </w:r>
      <w:proofErr w:type="gramEnd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不能正常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使用的会员也可以到绑定账户开户</w:t>
      </w:r>
      <w:r w:rsidRPr="007776E9">
        <w:rPr>
          <w:rFonts w:ascii="仿宋" w:eastAsia="仿宋" w:hAnsi="仿宋" w:hint="eastAsia"/>
          <w:sz w:val="32"/>
          <w:szCs w:val="32"/>
        </w:rPr>
        <w:t>银行柜台</w:t>
      </w:r>
      <w:r>
        <w:rPr>
          <w:rFonts w:ascii="仿宋" w:eastAsia="仿宋" w:hAnsi="仿宋" w:hint="eastAsia"/>
          <w:sz w:val="32"/>
          <w:szCs w:val="32"/>
        </w:rPr>
        <w:t>办理人工汇款，或者通过其他转账方式办理汇款业务。</w:t>
      </w:r>
    </w:p>
    <w:p w:rsidR="00255E79" w:rsidRDefault="00255E79" w:rsidP="001A57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四、您向交易中</w:t>
      </w:r>
      <w:proofErr w:type="gramStart"/>
      <w:r>
        <w:rPr>
          <w:rFonts w:ascii="仿宋" w:eastAsia="仿宋" w:hAnsi="仿宋" w:hint="eastAsia"/>
          <w:sz w:val="32"/>
          <w:szCs w:val="32"/>
        </w:rPr>
        <w:t>心存管</w:t>
      </w:r>
      <w:proofErr w:type="gramEnd"/>
      <w:r>
        <w:rPr>
          <w:rFonts w:ascii="仿宋" w:eastAsia="仿宋" w:hAnsi="仿宋" w:hint="eastAsia"/>
          <w:sz w:val="32"/>
          <w:szCs w:val="32"/>
        </w:rPr>
        <w:t>账户汇交保证金、货款时，务必使用与交易系统绑定的银行账户，您汇入的款项，交易系统会根据您所绑定的银行账户，自动识别记入交易中心为您开立的资金账户名下，用于您的各项交易活动，您可登陆交易系统随时</w:t>
      </w:r>
      <w:proofErr w:type="gramStart"/>
      <w:r>
        <w:rPr>
          <w:rFonts w:ascii="仿宋" w:eastAsia="仿宋" w:hAnsi="仿宋" w:hint="eastAsia"/>
          <w:sz w:val="32"/>
          <w:szCs w:val="32"/>
        </w:rPr>
        <w:t>查询您</w:t>
      </w:r>
      <w:proofErr w:type="gramEnd"/>
      <w:r>
        <w:rPr>
          <w:rFonts w:ascii="仿宋" w:eastAsia="仿宋" w:hAnsi="仿宋" w:hint="eastAsia"/>
          <w:sz w:val="32"/>
          <w:szCs w:val="32"/>
        </w:rPr>
        <w:t>名下资金变化情况。交易活动结束或合同履约后，对您名下的资金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交易系统会依据您的转账申请，汇划至您绑定的银行账户。</w:t>
      </w:r>
    </w:p>
    <w:p w:rsidR="00255E79" w:rsidRDefault="00255E79" w:rsidP="001A57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如您从非绑定银行账户向交易中心办理转账或汇款，交易系统无法自动识别，将会影响到您交易、</w:t>
      </w:r>
      <w:r w:rsidRPr="007776E9">
        <w:rPr>
          <w:rFonts w:ascii="仿宋" w:eastAsia="仿宋" w:hAnsi="仿宋" w:hint="eastAsia"/>
          <w:sz w:val="32"/>
          <w:szCs w:val="32"/>
        </w:rPr>
        <w:t>交割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776E9">
        <w:rPr>
          <w:rFonts w:ascii="仿宋" w:eastAsia="仿宋" w:hAnsi="仿宋" w:hint="eastAsia"/>
          <w:sz w:val="32"/>
          <w:szCs w:val="32"/>
        </w:rPr>
        <w:t>结算</w:t>
      </w:r>
      <w:r>
        <w:rPr>
          <w:rFonts w:ascii="仿宋" w:eastAsia="仿宋" w:hAnsi="仿宋" w:hint="eastAsia"/>
          <w:sz w:val="32"/>
          <w:szCs w:val="32"/>
        </w:rPr>
        <w:t>等业务的正常开展，由此产生的损失由您自行</w:t>
      </w:r>
      <w:r w:rsidRPr="007776E9">
        <w:rPr>
          <w:rFonts w:ascii="仿宋" w:eastAsia="仿宋" w:hAnsi="仿宋" w:hint="eastAsia"/>
          <w:sz w:val="32"/>
          <w:szCs w:val="32"/>
        </w:rPr>
        <w:t>承担</w:t>
      </w:r>
      <w:r>
        <w:rPr>
          <w:rFonts w:ascii="仿宋" w:eastAsia="仿宋" w:hAnsi="仿宋" w:hint="eastAsia"/>
          <w:sz w:val="32"/>
          <w:szCs w:val="32"/>
        </w:rPr>
        <w:t>，与交易中心、存管银行无涉</w:t>
      </w:r>
      <w:r w:rsidRPr="007776E9">
        <w:rPr>
          <w:rFonts w:ascii="仿宋" w:eastAsia="仿宋" w:hAnsi="仿宋" w:hint="eastAsia"/>
          <w:sz w:val="32"/>
          <w:szCs w:val="32"/>
        </w:rPr>
        <w:t>。</w:t>
      </w:r>
    </w:p>
    <w:p w:rsidR="00255E79" w:rsidRDefault="00255E79" w:rsidP="001A57FF">
      <w:pPr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您向交易中心提供的绑定账户信息必须为真实、合法、有效的实名账户信息，且交易期间绑定银行账户必须有效存续，因您提供的账户信息不准确、不完整等原因或在交易期间被有权机关采取查封、扣押、冻结等强制措施，导致绑定银行账户无法及时划付或收取交易资金，由此产生的损失由您自行承担，与交易中心、存管银行无涉。</w:t>
      </w:r>
    </w:p>
    <w:p w:rsidR="00255E79" w:rsidRDefault="00255E79" w:rsidP="001A57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您确认已阅读并清楚本告知书内容。</w:t>
      </w:r>
    </w:p>
    <w:p w:rsidR="00255E79" w:rsidRDefault="00255E79" w:rsidP="001A57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法定代表人（或授权代理人）签字：</w:t>
      </w:r>
    </w:p>
    <w:p w:rsidR="00255E79" w:rsidRPr="005541A5" w:rsidRDefault="00255E79" w:rsidP="001A57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会员（盖章）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日期：</w:t>
      </w:r>
      <w:r>
        <w:rPr>
          <w:rFonts w:ascii="仿宋" w:eastAsia="仿宋" w:hAnsi="仿宋"/>
          <w:sz w:val="32"/>
          <w:szCs w:val="32"/>
        </w:rPr>
        <w:t xml:space="preserve">   </w:t>
      </w:r>
    </w:p>
    <w:sectPr w:rsidR="00255E79" w:rsidRPr="005541A5" w:rsidSect="009A5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5B" w:rsidRDefault="00B8495B" w:rsidP="00884C3A">
      <w:r>
        <w:separator/>
      </w:r>
    </w:p>
  </w:endnote>
  <w:endnote w:type="continuationSeparator" w:id="0">
    <w:p w:rsidR="00B8495B" w:rsidRDefault="00B8495B" w:rsidP="0088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5B" w:rsidRDefault="00B8495B" w:rsidP="00884C3A">
      <w:r>
        <w:separator/>
      </w:r>
    </w:p>
  </w:footnote>
  <w:footnote w:type="continuationSeparator" w:id="0">
    <w:p w:rsidR="00B8495B" w:rsidRDefault="00B8495B" w:rsidP="0088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5C1"/>
    <w:multiLevelType w:val="hybridMultilevel"/>
    <w:tmpl w:val="0C9E6062"/>
    <w:lvl w:ilvl="0" w:tplc="DD28078E">
      <w:start w:val="1"/>
      <w:numFmt w:val="decimal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3846049"/>
    <w:multiLevelType w:val="hybridMultilevel"/>
    <w:tmpl w:val="7696CB36"/>
    <w:lvl w:ilvl="0" w:tplc="4990A38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72"/>
    <w:rsid w:val="0000483F"/>
    <w:rsid w:val="000164CF"/>
    <w:rsid w:val="000574A2"/>
    <w:rsid w:val="00074B43"/>
    <w:rsid w:val="000847AF"/>
    <w:rsid w:val="00091D38"/>
    <w:rsid w:val="000A75B4"/>
    <w:rsid w:val="000B003C"/>
    <w:rsid w:val="000C5186"/>
    <w:rsid w:val="000D35FB"/>
    <w:rsid w:val="00111326"/>
    <w:rsid w:val="00112830"/>
    <w:rsid w:val="00113D9D"/>
    <w:rsid w:val="0014479E"/>
    <w:rsid w:val="0016002C"/>
    <w:rsid w:val="001615C7"/>
    <w:rsid w:val="0016733D"/>
    <w:rsid w:val="001825AA"/>
    <w:rsid w:val="00184B8C"/>
    <w:rsid w:val="001A03F9"/>
    <w:rsid w:val="001A57FF"/>
    <w:rsid w:val="001C4A31"/>
    <w:rsid w:val="001C61D2"/>
    <w:rsid w:val="001F1BC0"/>
    <w:rsid w:val="001F5BDE"/>
    <w:rsid w:val="001F6191"/>
    <w:rsid w:val="002021D7"/>
    <w:rsid w:val="00241A74"/>
    <w:rsid w:val="00255E79"/>
    <w:rsid w:val="00265102"/>
    <w:rsid w:val="002828ED"/>
    <w:rsid w:val="00282BAD"/>
    <w:rsid w:val="002A31A1"/>
    <w:rsid w:val="002B04D6"/>
    <w:rsid w:val="002B3036"/>
    <w:rsid w:val="002B4AAF"/>
    <w:rsid w:val="002C40B3"/>
    <w:rsid w:val="002F07E9"/>
    <w:rsid w:val="00310671"/>
    <w:rsid w:val="00311040"/>
    <w:rsid w:val="00324BC9"/>
    <w:rsid w:val="0037769C"/>
    <w:rsid w:val="00380C89"/>
    <w:rsid w:val="003A5BE8"/>
    <w:rsid w:val="003C217E"/>
    <w:rsid w:val="003D0051"/>
    <w:rsid w:val="003E4677"/>
    <w:rsid w:val="00411B32"/>
    <w:rsid w:val="00420DB1"/>
    <w:rsid w:val="004333A8"/>
    <w:rsid w:val="004B4D18"/>
    <w:rsid w:val="004C6875"/>
    <w:rsid w:val="004D4289"/>
    <w:rsid w:val="004F42DF"/>
    <w:rsid w:val="005255E1"/>
    <w:rsid w:val="00531E38"/>
    <w:rsid w:val="00535FF0"/>
    <w:rsid w:val="00540E61"/>
    <w:rsid w:val="005541A5"/>
    <w:rsid w:val="005707AE"/>
    <w:rsid w:val="005A5244"/>
    <w:rsid w:val="005D5409"/>
    <w:rsid w:val="00600B70"/>
    <w:rsid w:val="006140BE"/>
    <w:rsid w:val="00625A75"/>
    <w:rsid w:val="00634628"/>
    <w:rsid w:val="00642613"/>
    <w:rsid w:val="00661326"/>
    <w:rsid w:val="00670EE5"/>
    <w:rsid w:val="00671C6E"/>
    <w:rsid w:val="00687580"/>
    <w:rsid w:val="00691C21"/>
    <w:rsid w:val="00696CF3"/>
    <w:rsid w:val="006A50C1"/>
    <w:rsid w:val="006B6272"/>
    <w:rsid w:val="006C22E1"/>
    <w:rsid w:val="006D6E5E"/>
    <w:rsid w:val="006E041A"/>
    <w:rsid w:val="00712EF1"/>
    <w:rsid w:val="00736ED0"/>
    <w:rsid w:val="00746B8E"/>
    <w:rsid w:val="007565E9"/>
    <w:rsid w:val="00761C68"/>
    <w:rsid w:val="00762CED"/>
    <w:rsid w:val="00767097"/>
    <w:rsid w:val="007776E9"/>
    <w:rsid w:val="0078424E"/>
    <w:rsid w:val="007B6C0F"/>
    <w:rsid w:val="007C06C3"/>
    <w:rsid w:val="007C430B"/>
    <w:rsid w:val="007C56DB"/>
    <w:rsid w:val="007E2B4C"/>
    <w:rsid w:val="007F4A1E"/>
    <w:rsid w:val="007F56DA"/>
    <w:rsid w:val="007F71F9"/>
    <w:rsid w:val="00842B14"/>
    <w:rsid w:val="00846211"/>
    <w:rsid w:val="008506B7"/>
    <w:rsid w:val="00852149"/>
    <w:rsid w:val="008622A7"/>
    <w:rsid w:val="008638D2"/>
    <w:rsid w:val="00864572"/>
    <w:rsid w:val="00872656"/>
    <w:rsid w:val="00884C3A"/>
    <w:rsid w:val="008B43A2"/>
    <w:rsid w:val="008C24F1"/>
    <w:rsid w:val="008F07D2"/>
    <w:rsid w:val="00903264"/>
    <w:rsid w:val="00923F33"/>
    <w:rsid w:val="009404BA"/>
    <w:rsid w:val="00944B46"/>
    <w:rsid w:val="00947E52"/>
    <w:rsid w:val="0096540C"/>
    <w:rsid w:val="0099537C"/>
    <w:rsid w:val="0099711D"/>
    <w:rsid w:val="009A48CA"/>
    <w:rsid w:val="009A506E"/>
    <w:rsid w:val="009A690D"/>
    <w:rsid w:val="009D0CAF"/>
    <w:rsid w:val="009D39F5"/>
    <w:rsid w:val="009E7CC1"/>
    <w:rsid w:val="009F0597"/>
    <w:rsid w:val="009F3F58"/>
    <w:rsid w:val="009F543F"/>
    <w:rsid w:val="00A24A54"/>
    <w:rsid w:val="00A2663F"/>
    <w:rsid w:val="00A44449"/>
    <w:rsid w:val="00A52A16"/>
    <w:rsid w:val="00A625DC"/>
    <w:rsid w:val="00A65AE5"/>
    <w:rsid w:val="00A67B42"/>
    <w:rsid w:val="00A9042F"/>
    <w:rsid w:val="00AA15C1"/>
    <w:rsid w:val="00AB3226"/>
    <w:rsid w:val="00AC1695"/>
    <w:rsid w:val="00AF0072"/>
    <w:rsid w:val="00AF4337"/>
    <w:rsid w:val="00AF692A"/>
    <w:rsid w:val="00AF78EC"/>
    <w:rsid w:val="00B15B09"/>
    <w:rsid w:val="00B236C2"/>
    <w:rsid w:val="00B23856"/>
    <w:rsid w:val="00B31E2B"/>
    <w:rsid w:val="00B5240C"/>
    <w:rsid w:val="00B65EA6"/>
    <w:rsid w:val="00B8495B"/>
    <w:rsid w:val="00BA7F8E"/>
    <w:rsid w:val="00BB0AED"/>
    <w:rsid w:val="00BE118D"/>
    <w:rsid w:val="00BE6237"/>
    <w:rsid w:val="00BE7844"/>
    <w:rsid w:val="00BF5C2E"/>
    <w:rsid w:val="00C3343F"/>
    <w:rsid w:val="00C3616E"/>
    <w:rsid w:val="00C46F6D"/>
    <w:rsid w:val="00C657B8"/>
    <w:rsid w:val="00C86354"/>
    <w:rsid w:val="00C902A4"/>
    <w:rsid w:val="00CE36A7"/>
    <w:rsid w:val="00CF4142"/>
    <w:rsid w:val="00CF481B"/>
    <w:rsid w:val="00D25E25"/>
    <w:rsid w:val="00D765AE"/>
    <w:rsid w:val="00DA21C1"/>
    <w:rsid w:val="00E659A2"/>
    <w:rsid w:val="00E67AD6"/>
    <w:rsid w:val="00EB06F5"/>
    <w:rsid w:val="00EB1F51"/>
    <w:rsid w:val="00ED17B6"/>
    <w:rsid w:val="00ED69B4"/>
    <w:rsid w:val="00EE729B"/>
    <w:rsid w:val="00F07594"/>
    <w:rsid w:val="00F418F2"/>
    <w:rsid w:val="00F77FBA"/>
    <w:rsid w:val="00F83673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04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884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84C3A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884C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84C3A"/>
    <w:rPr>
      <w:rFonts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884C3A"/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84C3A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04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884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84C3A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884C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84C3A"/>
    <w:rPr>
      <w:rFonts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884C3A"/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84C3A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会员交易资金电子结算告知书</dc:title>
  <dc:creator>wangx</dc:creator>
  <cp:lastModifiedBy>微软用户</cp:lastModifiedBy>
  <cp:revision>2</cp:revision>
  <cp:lastPrinted>2016-07-07T02:01:00Z</cp:lastPrinted>
  <dcterms:created xsi:type="dcterms:W3CDTF">2019-03-06T01:45:00Z</dcterms:created>
  <dcterms:modified xsi:type="dcterms:W3CDTF">2019-03-06T01:45:00Z</dcterms:modified>
</cp:coreProperties>
</file>