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default" w:ascii="宋体" w:hAnsi="宋体" w:eastAsia="宋体"/>
          <w:sz w:val="24"/>
          <w:szCs w:val="24"/>
          <w:lang w:val="en-US" w:eastAsia="zh-CN"/>
        </w:rPr>
      </w:pPr>
      <w:bookmarkStart w:id="0" w:name="_GoBack"/>
      <w:bookmarkEnd w:id="0"/>
      <w:r>
        <w:rPr>
          <w:rFonts w:hint="eastAsia" w:ascii="宋体" w:hAnsi="宋体" w:eastAsia="宋体"/>
          <w:sz w:val="24"/>
          <w:szCs w:val="24"/>
          <w:lang w:val="en-US" w:eastAsia="zh-CN"/>
        </w:rPr>
        <w:t>附件3：</w:t>
      </w:r>
    </w:p>
    <w:p>
      <w:pPr>
        <w:spacing w:line="360" w:lineRule="auto"/>
        <w:jc w:val="center"/>
        <w:rPr>
          <w:rFonts w:ascii="宋体" w:hAnsi="宋体" w:eastAsia="宋体"/>
          <w:sz w:val="32"/>
          <w:szCs w:val="32"/>
          <w:highlight w:val="none"/>
        </w:rPr>
      </w:pPr>
      <w:r>
        <w:rPr>
          <w:rFonts w:hint="eastAsia" w:ascii="宋体" w:hAnsi="宋体" w:eastAsia="宋体"/>
          <w:sz w:val="32"/>
          <w:szCs w:val="32"/>
          <w:highlight w:val="none"/>
        </w:rPr>
        <w:t>进口大豆竞价交易购销合同</w:t>
      </w:r>
    </w:p>
    <w:p>
      <w:pPr>
        <w:wordWrap w:val="0"/>
        <w:spacing w:line="460" w:lineRule="exact"/>
        <w:jc w:val="right"/>
        <w:rPr>
          <w:rFonts w:ascii="宋体" w:hAnsi="宋体" w:eastAsia="宋体"/>
          <w:sz w:val="24"/>
          <w:szCs w:val="24"/>
          <w:highlight w:val="none"/>
        </w:rPr>
      </w:pPr>
      <w:r>
        <w:rPr>
          <w:rFonts w:hint="eastAsia" w:ascii="宋体" w:hAnsi="宋体" w:eastAsia="宋体"/>
          <w:sz w:val="24"/>
          <w:szCs w:val="24"/>
          <w:highlight w:val="none"/>
        </w:rPr>
        <w:t xml:space="preserve">合同编号：                 </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卖方：</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住所地：</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法定代表人：</w:t>
      </w:r>
    </w:p>
    <w:p>
      <w:pPr>
        <w:spacing w:line="460" w:lineRule="exact"/>
        <w:rPr>
          <w:rFonts w:ascii="宋体" w:hAnsi="宋体" w:eastAsia="宋体"/>
          <w:b/>
          <w:bCs/>
          <w:sz w:val="24"/>
          <w:szCs w:val="24"/>
          <w:highlight w:val="none"/>
        </w:rPr>
      </w:pP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买方：</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商户编号：</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住所地：</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法定代表人：</w:t>
      </w:r>
    </w:p>
    <w:p>
      <w:pPr>
        <w:spacing w:line="460" w:lineRule="exact"/>
        <w:rPr>
          <w:rFonts w:ascii="宋体" w:hAnsi="宋体" w:eastAsia="宋体"/>
          <w:sz w:val="24"/>
          <w:szCs w:val="24"/>
          <w:highlight w:val="none"/>
        </w:rPr>
      </w:pPr>
    </w:p>
    <w:p>
      <w:pPr>
        <w:spacing w:line="460" w:lineRule="exact"/>
        <w:rPr>
          <w:rFonts w:ascii="宋体" w:hAnsi="宋体" w:eastAsia="宋体"/>
          <w:sz w:val="24"/>
          <w:szCs w:val="24"/>
          <w:highlight w:val="none"/>
        </w:rPr>
      </w:pPr>
      <w:r>
        <w:rPr>
          <w:rFonts w:hint="eastAsia" w:ascii="宋体" w:hAnsi="宋体" w:eastAsia="宋体"/>
          <w:sz w:val="24"/>
          <w:szCs w:val="24"/>
          <w:highlight w:val="none"/>
        </w:rPr>
        <w:t xml:space="preserve">签订地点： </w:t>
      </w:r>
      <w:r>
        <w:rPr>
          <w:rFonts w:ascii="宋体" w:hAnsi="宋体" w:eastAsia="宋体"/>
          <w:sz w:val="24"/>
          <w:szCs w:val="24"/>
          <w:highlight w:val="none"/>
        </w:rPr>
        <w:t xml:space="preserve">                          </w:t>
      </w:r>
      <w:r>
        <w:rPr>
          <w:rFonts w:hint="eastAsia" w:ascii="宋体" w:hAnsi="宋体" w:eastAsia="宋体"/>
          <w:sz w:val="24"/>
          <w:szCs w:val="24"/>
          <w:highlight w:val="none"/>
        </w:rPr>
        <w:t>签订时间：</w:t>
      </w:r>
    </w:p>
    <w:p>
      <w:pPr>
        <w:spacing w:line="460" w:lineRule="exact"/>
        <w:rPr>
          <w:rFonts w:ascii="宋体" w:hAnsi="宋体" w:eastAsia="宋体"/>
          <w:sz w:val="24"/>
          <w:szCs w:val="24"/>
          <w:highlight w:val="none"/>
        </w:rPr>
      </w:pPr>
    </w:p>
    <w:p>
      <w:pPr>
        <w:spacing w:line="460" w:lineRule="exact"/>
        <w:ind w:firstLine="480" w:firstLineChars="200"/>
        <w:rPr>
          <w:rFonts w:ascii="宋体" w:hAnsi="宋体" w:eastAsia="宋体"/>
          <w:sz w:val="24"/>
          <w:szCs w:val="24"/>
          <w:highlight w:val="none"/>
        </w:rPr>
      </w:pPr>
      <w:r>
        <w:rPr>
          <w:rFonts w:ascii="宋体" w:hAnsi="宋体" w:eastAsia="宋体"/>
          <w:sz w:val="24"/>
          <w:szCs w:val="24"/>
          <w:highlight w:val="none"/>
        </w:rPr>
        <w:t>根据《中华人民共和国</w:t>
      </w:r>
      <w:r>
        <w:rPr>
          <w:rFonts w:hint="eastAsia" w:ascii="宋体" w:hAnsi="宋体" w:eastAsia="宋体"/>
          <w:sz w:val="24"/>
          <w:szCs w:val="24"/>
          <w:highlight w:val="none"/>
          <w:lang w:val="en-US" w:eastAsia="zh-CN"/>
        </w:rPr>
        <w:t>民法典</w:t>
      </w:r>
      <w:r>
        <w:rPr>
          <w:rFonts w:ascii="宋体" w:hAnsi="宋体" w:eastAsia="宋体"/>
          <w:sz w:val="24"/>
          <w:szCs w:val="24"/>
          <w:highlight w:val="none"/>
        </w:rPr>
        <w:t>》、《中央储备粮管理条例》等有关法律法规，</w:t>
      </w:r>
      <w:r>
        <w:rPr>
          <w:rFonts w:hint="eastAsia" w:ascii="宋体" w:hAnsi="宋体" w:eastAsia="宋体"/>
          <w:sz w:val="24"/>
          <w:szCs w:val="24"/>
          <w:highlight w:val="none"/>
        </w:rPr>
        <w:t>买卖双方按照平等、自愿原则签订本合同，以资共同遵守</w:t>
      </w:r>
      <w:r>
        <w:rPr>
          <w:rFonts w:ascii="宋体" w:hAnsi="宋体" w:eastAsia="宋体"/>
          <w:sz w:val="24"/>
          <w:szCs w:val="24"/>
          <w:highlight w:val="none"/>
        </w:rPr>
        <w:t>。</w:t>
      </w:r>
    </w:p>
    <w:p>
      <w:pPr>
        <w:spacing w:line="460" w:lineRule="exact"/>
        <w:rPr>
          <w:rFonts w:ascii="宋体" w:hAnsi="宋体" w:eastAsia="宋体"/>
          <w:b/>
          <w:bCs/>
          <w:sz w:val="24"/>
          <w:szCs w:val="24"/>
          <w:highlight w:val="none"/>
        </w:rPr>
      </w:pPr>
      <w:r>
        <w:rPr>
          <w:rFonts w:hint="eastAsia" w:ascii="宋体" w:hAnsi="宋体" w:eastAsia="宋体"/>
          <w:b/>
          <w:bCs/>
          <w:sz w:val="24"/>
          <w:szCs w:val="24"/>
          <w:highlight w:val="none"/>
        </w:rPr>
        <w:t>第一条 合同标的物：</w:t>
      </w:r>
    </w:p>
    <w:p>
      <w:pPr>
        <w:spacing w:line="460" w:lineRule="exact"/>
        <w:rPr>
          <w:rFonts w:ascii="宋体" w:hAnsi="宋体" w:eastAsia="宋体"/>
          <w:sz w:val="24"/>
          <w:szCs w:val="24"/>
          <w:highlight w:val="none"/>
        </w:rPr>
      </w:pPr>
      <w:r>
        <w:rPr>
          <w:rFonts w:hint="eastAsia" w:ascii="宋体" w:hAnsi="宋体" w:eastAsia="宋体"/>
          <w:sz w:val="24"/>
          <w:szCs w:val="24"/>
          <w:highlight w:val="none"/>
        </w:rPr>
        <w:t>1.1</w:t>
      </w:r>
      <w:r>
        <w:rPr>
          <w:rFonts w:ascii="宋体" w:hAnsi="宋体" w:eastAsia="宋体"/>
          <w:sz w:val="24"/>
          <w:szCs w:val="24"/>
          <w:highlight w:val="none"/>
        </w:rPr>
        <w:t xml:space="preserve"> </w:t>
      </w:r>
      <w:r>
        <w:rPr>
          <w:rFonts w:hint="eastAsia" w:ascii="宋体" w:hAnsi="宋体" w:eastAsia="宋体"/>
          <w:sz w:val="24"/>
          <w:szCs w:val="24"/>
          <w:highlight w:val="none"/>
        </w:rPr>
        <w:t>品名、数量、单价、价款：</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41"/>
        <w:gridCol w:w="1756"/>
        <w:gridCol w:w="175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品名</w:t>
            </w:r>
          </w:p>
        </w:tc>
        <w:tc>
          <w:tcPr>
            <w:tcW w:w="1541"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数量（吨）</w:t>
            </w:r>
          </w:p>
        </w:tc>
        <w:tc>
          <w:tcPr>
            <w:tcW w:w="1756"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rPr>
              <w:t>单价（元/吨）</w:t>
            </w:r>
          </w:p>
        </w:tc>
        <w:tc>
          <w:tcPr>
            <w:tcW w:w="1755" w:type="dxa"/>
            <w:vAlign w:val="center"/>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含税</w:t>
            </w:r>
            <w:r>
              <w:rPr>
                <w:rFonts w:hint="eastAsia" w:ascii="宋体" w:hAnsi="宋体" w:eastAsia="宋体"/>
                <w:sz w:val="24"/>
                <w:szCs w:val="24"/>
                <w:highlight w:val="none"/>
              </w:rPr>
              <w:t>价款（元）</w:t>
            </w:r>
          </w:p>
        </w:tc>
        <w:tc>
          <w:tcPr>
            <w:tcW w:w="2177" w:type="dxa"/>
          </w:tcPr>
          <w:p>
            <w:pPr>
              <w:spacing w:line="46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不含税价款（元）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460" w:lineRule="exact"/>
              <w:jc w:val="center"/>
              <w:rPr>
                <w:rFonts w:ascii="宋体" w:hAnsi="宋体" w:eastAsia="宋体"/>
                <w:sz w:val="24"/>
                <w:szCs w:val="24"/>
                <w:highlight w:val="none"/>
              </w:rPr>
            </w:pPr>
          </w:p>
        </w:tc>
        <w:tc>
          <w:tcPr>
            <w:tcW w:w="1541" w:type="dxa"/>
            <w:vAlign w:val="center"/>
          </w:tcPr>
          <w:p>
            <w:pPr>
              <w:spacing w:line="460" w:lineRule="exact"/>
              <w:jc w:val="center"/>
              <w:rPr>
                <w:rFonts w:ascii="宋体" w:hAnsi="宋体" w:eastAsia="宋体"/>
                <w:sz w:val="24"/>
                <w:szCs w:val="24"/>
                <w:highlight w:val="none"/>
              </w:rPr>
            </w:pPr>
          </w:p>
        </w:tc>
        <w:tc>
          <w:tcPr>
            <w:tcW w:w="1756" w:type="dxa"/>
            <w:vAlign w:val="center"/>
          </w:tcPr>
          <w:p>
            <w:pPr>
              <w:spacing w:line="460" w:lineRule="exact"/>
              <w:jc w:val="center"/>
              <w:rPr>
                <w:rFonts w:ascii="宋体" w:hAnsi="宋体" w:eastAsia="宋体"/>
                <w:sz w:val="24"/>
                <w:szCs w:val="24"/>
                <w:highlight w:val="none"/>
              </w:rPr>
            </w:pPr>
          </w:p>
        </w:tc>
        <w:tc>
          <w:tcPr>
            <w:tcW w:w="1755" w:type="dxa"/>
            <w:vAlign w:val="center"/>
          </w:tcPr>
          <w:p>
            <w:pPr>
              <w:spacing w:line="460" w:lineRule="exact"/>
              <w:jc w:val="center"/>
              <w:rPr>
                <w:rFonts w:ascii="宋体" w:hAnsi="宋体" w:eastAsia="宋体"/>
                <w:sz w:val="24"/>
                <w:szCs w:val="24"/>
                <w:highlight w:val="none"/>
              </w:rPr>
            </w:pPr>
          </w:p>
        </w:tc>
        <w:tc>
          <w:tcPr>
            <w:tcW w:w="2177" w:type="dxa"/>
          </w:tcPr>
          <w:p>
            <w:pPr>
              <w:spacing w:line="460" w:lineRule="exact"/>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5"/>
            <w:vAlign w:val="center"/>
          </w:tcPr>
          <w:p>
            <w:pPr>
              <w:spacing w:line="460" w:lineRule="exact"/>
              <w:rPr>
                <w:rFonts w:ascii="宋体" w:hAnsi="宋体" w:eastAsia="宋体"/>
                <w:sz w:val="24"/>
                <w:szCs w:val="24"/>
                <w:highlight w:val="none"/>
              </w:rPr>
            </w:pPr>
            <w:r>
              <w:rPr>
                <w:rFonts w:hint="eastAsia" w:ascii="宋体" w:hAnsi="宋体" w:eastAsia="宋体"/>
                <w:sz w:val="24"/>
                <w:szCs w:val="24"/>
                <w:highlight w:val="none"/>
              </w:rPr>
              <w:t>合计人民币（大写金额）：</w:t>
            </w:r>
          </w:p>
        </w:tc>
      </w:tr>
    </w:tbl>
    <w:p>
      <w:pPr>
        <w:spacing w:line="46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（本合同定价已充分结合购买用途（即：只能用于加工）并充分考虑到杂质（含大豆筛下物）、水分、不完善粒等因素，买方对此充分认可。）</w:t>
      </w:r>
    </w:p>
    <w:p>
      <w:pPr>
        <w:spacing w:line="460" w:lineRule="exact"/>
        <w:rPr>
          <w:rFonts w:ascii="宋体" w:hAnsi="宋体" w:eastAsia="宋体"/>
          <w:sz w:val="24"/>
          <w:szCs w:val="24"/>
          <w:highlight w:val="none"/>
        </w:rPr>
      </w:pPr>
      <w:r>
        <w:rPr>
          <w:rFonts w:hint="eastAsia" w:ascii="宋体" w:hAnsi="宋体" w:eastAsia="宋体"/>
          <w:sz w:val="24"/>
          <w:szCs w:val="24"/>
          <w:highlight w:val="none"/>
        </w:rPr>
        <w:t>1.2</w:t>
      </w:r>
      <w:r>
        <w:rPr>
          <w:rFonts w:ascii="宋体" w:hAnsi="宋体" w:eastAsia="宋体"/>
          <w:sz w:val="24"/>
          <w:szCs w:val="24"/>
          <w:highlight w:val="none"/>
        </w:rPr>
        <w:t xml:space="preserve"> </w:t>
      </w:r>
      <w:r>
        <w:rPr>
          <w:rFonts w:hint="eastAsia" w:ascii="宋体" w:hAnsi="宋体" w:eastAsia="宋体"/>
          <w:sz w:val="24"/>
          <w:szCs w:val="24"/>
          <w:highlight w:val="none"/>
        </w:rPr>
        <w:t>实际存储地点：</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1.3</w:t>
      </w:r>
      <w:r>
        <w:rPr>
          <w:rFonts w:ascii="宋体" w:hAnsi="宋体" w:eastAsia="宋体"/>
          <w:highlight w:val="none"/>
        </w:rPr>
        <w:t xml:space="preserve"> </w:t>
      </w:r>
      <w:r>
        <w:rPr>
          <w:rFonts w:hint="eastAsia" w:ascii="宋体" w:hAnsi="宋体" w:eastAsia="宋体"/>
          <w:highlight w:val="none"/>
        </w:rPr>
        <w:t>存储罐（仓）位号：</w:t>
      </w:r>
      <w:r>
        <w:rPr>
          <w:rFonts w:hint="eastAsia" w:ascii="宋体" w:hAnsi="宋体" w:eastAsia="宋体"/>
          <w:highlight w:val="none"/>
          <w:u w:val="single"/>
        </w:rPr>
        <w:t xml:space="preserve"> </w:t>
      </w:r>
      <w:r>
        <w:rPr>
          <w:rFonts w:ascii="宋体" w:hAnsi="宋体" w:eastAsia="宋体"/>
          <w:highlight w:val="none"/>
          <w:u w:val="single"/>
        </w:rPr>
        <w:t xml:space="preserve">                       </w:t>
      </w:r>
      <w:r>
        <w:rPr>
          <w:rFonts w:hint="eastAsia" w:ascii="宋体" w:hAnsi="宋体" w:eastAsia="宋体"/>
          <w:highlight w:val="none"/>
        </w:rPr>
        <w:t>。</w:t>
      </w:r>
    </w:p>
    <w:p>
      <w:pPr>
        <w:pStyle w:val="14"/>
        <w:spacing w:line="460" w:lineRule="exact"/>
        <w:jc w:val="both"/>
        <w:rPr>
          <w:rFonts w:hint="eastAsia" w:ascii="宋体" w:hAnsi="宋体" w:eastAsia="宋体"/>
          <w:b/>
          <w:bCs/>
          <w:highlight w:val="none"/>
        </w:rPr>
      </w:pPr>
      <w:r>
        <w:rPr>
          <w:rFonts w:hint="eastAsia" w:ascii="宋体" w:hAnsi="宋体" w:eastAsia="宋体"/>
          <w:b/>
          <w:bCs/>
          <w:highlight w:val="none"/>
        </w:rPr>
        <w:t>1.4.质量标准：以当期《交易公告》对应发布的交易清单为参考，具体以仓内储存实物为准。大豆筛下物（散装或包装）计入货物数量，随进口大豆一起出库接收。不因水分、杂质、不完善粒等增加或扣减货物数量。</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第二条 看样与质量确认：</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2</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1</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买方确认竞价前已对货物质量及出库条件等进行了实地查看，愿意承担相应的责任和市场风险，成交后不再提出调整价款、执行增扣量等与货物质量相关的主张。</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b/>
          <w:bCs/>
          <w:color w:val="auto"/>
          <w:kern w:val="2"/>
          <w:highlight w:val="none"/>
        </w:rPr>
        <w:t>2.2</w:t>
      </w:r>
      <w:r>
        <w:rPr>
          <w:rFonts w:ascii="宋体" w:hAnsi="宋体" w:eastAsia="宋体" w:cstheme="minorBidi"/>
          <w:b/>
          <w:bCs/>
          <w:color w:val="auto"/>
          <w:kern w:val="2"/>
          <w:highlight w:val="none"/>
        </w:rPr>
        <w:t xml:space="preserve"> </w:t>
      </w:r>
      <w:r>
        <w:rPr>
          <w:rFonts w:hint="eastAsia" w:ascii="宋体" w:hAnsi="宋体" w:eastAsia="宋体" w:cstheme="minorBidi"/>
          <w:b/>
          <w:bCs/>
          <w:color w:val="auto"/>
          <w:kern w:val="2"/>
          <w:highlight w:val="none"/>
        </w:rPr>
        <w:t>本合同第1.1条约定的价款为卖方散粮车板交货价，大豆筛下物</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lang w:val="en-US" w:eastAsia="zh-CN"/>
        </w:rPr>
        <w:t>散装或包装</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rPr>
        <w:t>随大豆一起出库</w:t>
      </w:r>
      <w:r>
        <w:rPr>
          <w:rFonts w:hint="eastAsia" w:ascii="宋体" w:hAnsi="宋体" w:eastAsia="宋体" w:cstheme="minorBidi"/>
          <w:b/>
          <w:bCs/>
          <w:color w:val="auto"/>
          <w:kern w:val="2"/>
          <w:highlight w:val="none"/>
          <w:lang w:eastAsia="zh-CN"/>
        </w:rPr>
        <w:t>，</w:t>
      </w:r>
      <w:r>
        <w:rPr>
          <w:rFonts w:hint="eastAsia" w:ascii="宋体" w:hAnsi="宋体" w:eastAsia="宋体" w:cstheme="minorBidi"/>
          <w:b/>
          <w:bCs/>
          <w:color w:val="auto"/>
          <w:kern w:val="2"/>
          <w:highlight w:val="none"/>
        </w:rPr>
        <w:t>不执行水分、杂质、不完善粒等增扣量</w:t>
      </w:r>
      <w:r>
        <w:rPr>
          <w:rFonts w:hint="eastAsia" w:ascii="宋体" w:hAnsi="宋体" w:eastAsia="宋体" w:cstheme="minorBidi"/>
          <w:color w:val="auto"/>
          <w:kern w:val="2"/>
          <w:highlight w:val="none"/>
        </w:rPr>
        <w:t>。</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b/>
          <w:bCs/>
          <w:highlight w:val="none"/>
        </w:rPr>
        <w:t>第三条 包装物标准及运输：</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3.1</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包装标准：散装。</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运输方式及费用承担：</w:t>
      </w:r>
      <w:r>
        <w:rPr>
          <w:rFonts w:ascii="宋体" w:hAnsi="宋体" w:eastAsia="宋体" w:cstheme="minorBidi"/>
          <w:color w:val="auto"/>
          <w:kern w:val="2"/>
          <w:highlight w:val="none"/>
        </w:rPr>
        <w:t>买方采取自提方式，</w:t>
      </w:r>
      <w:r>
        <w:rPr>
          <w:rFonts w:hint="eastAsia" w:ascii="宋体" w:hAnsi="宋体" w:eastAsia="宋体" w:cstheme="minorBidi"/>
          <w:color w:val="auto"/>
          <w:kern w:val="2"/>
          <w:highlight w:val="none"/>
        </w:rPr>
        <w:t>船运：库点交货，汽运：车板交货。所有权与风险自卖方开具提货单后转移至买方。</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3.3</w:t>
      </w:r>
      <w:r>
        <w:rPr>
          <w:rFonts w:ascii="宋体" w:hAnsi="宋体" w:eastAsia="宋体" w:cstheme="minorBidi"/>
          <w:color w:val="auto"/>
          <w:kern w:val="2"/>
          <w:highlight w:val="none"/>
        </w:rPr>
        <w:t xml:space="preserve"> 买方人员及车辆在出入卖方厂区和卖方指定的区域进行作业时，应按照卖方规章、制度进行装卸、运输工作，保持作业区域的整洁、干净，避免造成卖方厂区的环境污染。</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3.4</w:t>
      </w:r>
      <w:r>
        <w:rPr>
          <w:rFonts w:ascii="宋体" w:hAnsi="宋体" w:eastAsia="宋体" w:cstheme="minorBidi"/>
          <w:color w:val="auto"/>
          <w:kern w:val="2"/>
          <w:highlight w:val="none"/>
        </w:rPr>
        <w:t xml:space="preserve"> 买方提货车辆及相关人员必须遵守卖方的操作、安全等规章制度，同时注意自身安全，否则造成的人身及财产损失由买方负责。</w:t>
      </w:r>
    </w:p>
    <w:p>
      <w:pPr>
        <w:pStyle w:val="14"/>
        <w:spacing w:line="460" w:lineRule="exact"/>
        <w:jc w:val="both"/>
        <w:rPr>
          <w:rFonts w:ascii="宋体" w:hAnsi="宋体" w:eastAsia="宋体"/>
          <w:b/>
          <w:bCs/>
          <w:highlight w:val="none"/>
        </w:rPr>
      </w:pPr>
      <w:r>
        <w:rPr>
          <w:rFonts w:hint="eastAsia" w:ascii="宋体" w:hAnsi="宋体" w:eastAsia="宋体" w:cstheme="minorBidi"/>
          <w:b/>
          <w:bCs/>
          <w:color w:val="auto"/>
          <w:kern w:val="2"/>
          <w:highlight w:val="none"/>
        </w:rPr>
        <w:t>第</w:t>
      </w:r>
      <w:r>
        <w:rPr>
          <w:rFonts w:hint="eastAsia" w:ascii="宋体" w:hAnsi="宋体" w:eastAsia="宋体"/>
          <w:b/>
          <w:bCs/>
          <w:highlight w:val="none"/>
        </w:rPr>
        <w:t>四条 合同履约期：</w:t>
      </w:r>
    </w:p>
    <w:p>
      <w:pPr>
        <w:pStyle w:val="14"/>
        <w:wordWrap w:val="0"/>
        <w:spacing w:line="460" w:lineRule="exact"/>
        <w:jc w:val="both"/>
        <w:rPr>
          <w:rFonts w:ascii="宋体" w:hAnsi="宋体" w:eastAsia="宋体" w:cstheme="minorBidi"/>
          <w:color w:val="auto"/>
          <w:kern w:val="2"/>
          <w:highlight w:val="none"/>
        </w:rPr>
      </w:pPr>
      <w:r>
        <w:rPr>
          <w:rFonts w:hint="eastAsia" w:ascii="宋体" w:hAnsi="宋体" w:eastAsia="宋体"/>
          <w:highlight w:val="none"/>
        </w:rPr>
        <w:t>4.1</w:t>
      </w:r>
      <w:r>
        <w:rPr>
          <w:rFonts w:ascii="宋体" w:hAnsi="宋体" w:eastAsia="宋体"/>
          <w:highlight w:val="none"/>
        </w:rPr>
        <w:t xml:space="preserve"> </w:t>
      </w:r>
      <w:r>
        <w:rPr>
          <w:rFonts w:hint="eastAsia" w:ascii="宋体" w:hAnsi="宋体" w:eastAsia="宋体" w:cstheme="minorBidi"/>
          <w:color w:val="auto"/>
          <w:kern w:val="2"/>
          <w:highlight w:val="none"/>
        </w:rPr>
        <w:t>本合同履约期</w:t>
      </w:r>
      <w:r>
        <w:rPr>
          <w:rFonts w:hint="eastAsia" w:ascii="宋体" w:hAnsi="宋体" w:eastAsia="宋体" w:cstheme="minorBidi"/>
          <w:color w:val="auto"/>
          <w:kern w:val="2"/>
          <w:highlight w:val="none"/>
          <w:lang w:val="en-US" w:eastAsia="zh-CN"/>
        </w:rPr>
        <w:t>自</w:t>
      </w:r>
      <w:r>
        <w:rPr>
          <w:rFonts w:hint="eastAsia" w:ascii="宋体" w:hAnsi="宋体" w:eastAsia="宋体" w:cstheme="minorBidi"/>
          <w:color w:val="auto"/>
          <w:kern w:val="2"/>
          <w:highlight w:val="none"/>
          <w:u w:val="single"/>
        </w:rPr>
        <w:t xml:space="preserve">     </w:t>
      </w:r>
      <w:r>
        <w:rPr>
          <w:rFonts w:hint="eastAsia" w:ascii="宋体" w:hAnsi="宋体" w:eastAsia="宋体" w:cstheme="minorBidi"/>
          <w:color w:val="auto"/>
          <w:kern w:val="2"/>
          <w:highlight w:val="none"/>
        </w:rPr>
        <w:t>至</w:t>
      </w:r>
      <w:r>
        <w:rPr>
          <w:rFonts w:hint="eastAsia" w:ascii="宋体" w:hAnsi="宋体" w:eastAsia="宋体" w:cstheme="minorBidi"/>
          <w:color w:val="auto"/>
          <w:kern w:val="2"/>
          <w:highlight w:val="none"/>
          <w:u w:val="single"/>
        </w:rPr>
        <w:t xml:space="preserve">    </w:t>
      </w:r>
      <w:r>
        <w:rPr>
          <w:rFonts w:hint="eastAsia" w:ascii="宋体" w:hAnsi="宋体" w:eastAsia="宋体" w:cstheme="minorBidi"/>
          <w:color w:val="auto"/>
          <w:kern w:val="2"/>
          <w:highlight w:val="none"/>
        </w:rPr>
        <w:t>，</w:t>
      </w:r>
      <w:r>
        <w:rPr>
          <w:rFonts w:hint="eastAsia" w:ascii="宋体" w:hAnsi="宋体" w:eastAsia="宋体" w:cstheme="minorBidi"/>
          <w:color w:val="auto"/>
          <w:kern w:val="2"/>
          <w:highlight w:val="none"/>
          <w:lang w:val="en-US" w:eastAsia="zh-CN"/>
        </w:rPr>
        <w:t>交货期自</w:t>
      </w:r>
      <w:r>
        <w:rPr>
          <w:rFonts w:hint="eastAsia" w:ascii="宋体" w:hAnsi="宋体" w:eastAsia="宋体" w:cstheme="minorBidi"/>
          <w:color w:val="auto"/>
          <w:kern w:val="2"/>
          <w:highlight w:val="none"/>
          <w:u w:val="single"/>
          <w:lang w:val="en-US" w:eastAsia="zh-CN"/>
        </w:rPr>
        <w:t xml:space="preserve">   </w:t>
      </w:r>
      <w:r>
        <w:rPr>
          <w:rFonts w:hint="eastAsia" w:ascii="宋体" w:hAnsi="宋体" w:eastAsia="宋体" w:cstheme="minorBidi"/>
          <w:color w:val="auto"/>
          <w:kern w:val="2"/>
          <w:highlight w:val="none"/>
          <w:lang w:val="en-US" w:eastAsia="zh-CN"/>
        </w:rPr>
        <w:t>至</w:t>
      </w:r>
      <w:r>
        <w:rPr>
          <w:rFonts w:hint="eastAsia" w:ascii="宋体" w:hAnsi="宋体" w:eastAsia="宋体" w:cstheme="minorBidi"/>
          <w:color w:val="auto"/>
          <w:kern w:val="2"/>
          <w:highlight w:val="none"/>
          <w:u w:val="single"/>
          <w:lang w:val="en-US" w:eastAsia="zh-CN"/>
        </w:rPr>
        <w:t xml:space="preserve">     </w:t>
      </w:r>
      <w:r>
        <w:rPr>
          <w:rFonts w:hint="eastAsia" w:ascii="宋体" w:hAnsi="宋体" w:eastAsia="宋体" w:cstheme="minorBidi"/>
          <w:color w:val="auto"/>
          <w:kern w:val="2"/>
          <w:highlight w:val="none"/>
          <w:lang w:val="en-US" w:eastAsia="zh-CN"/>
        </w:rPr>
        <w:t xml:space="preserve">  </w:t>
      </w:r>
      <w:r>
        <w:rPr>
          <w:rFonts w:hint="eastAsia" w:ascii="宋体" w:hAnsi="宋体" w:eastAsia="宋体" w:cstheme="minorBidi"/>
          <w:color w:val="auto"/>
          <w:kern w:val="2"/>
          <w:highlight w:val="none"/>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4.2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逾期未完成付款及交（提）货的，按责任方违约处理。买卖双方达成一致延长履约期的，应签订补充协议，违约责任按补充协议执行。由于买方原因导致延长履约期的，买方还应按如下标准向卖方支付延长履约期间未出库粮食保管费：延期10日（含）以内</w:t>
      </w:r>
      <w:r>
        <w:rPr>
          <w:rFonts w:hint="eastAsia" w:ascii="宋体" w:hAnsi="宋体" w:eastAsia="宋体" w:cstheme="minorBidi"/>
          <w:color w:val="auto"/>
          <w:kern w:val="2"/>
          <w:highlight w:val="none"/>
          <w:lang w:val="en-US" w:eastAsia="zh-CN"/>
        </w:rPr>
        <w:t>2</w:t>
      </w:r>
      <w:r>
        <w:rPr>
          <w:rFonts w:hint="eastAsia" w:ascii="宋体" w:hAnsi="宋体" w:eastAsia="宋体" w:cstheme="minorBidi"/>
          <w:color w:val="auto"/>
          <w:kern w:val="2"/>
          <w:highlight w:val="none"/>
        </w:rPr>
        <w:t>元/吨/日、11至20日（含）</w:t>
      </w:r>
      <w:r>
        <w:rPr>
          <w:rFonts w:hint="eastAsia" w:ascii="宋体" w:hAnsi="宋体" w:eastAsia="宋体" w:cstheme="minorBidi"/>
          <w:color w:val="auto"/>
          <w:kern w:val="2"/>
          <w:highlight w:val="none"/>
          <w:lang w:val="en-US" w:eastAsia="zh-CN"/>
        </w:rPr>
        <w:t>3</w:t>
      </w:r>
      <w:r>
        <w:rPr>
          <w:rFonts w:hint="eastAsia" w:ascii="宋体" w:hAnsi="宋体" w:eastAsia="宋体" w:cstheme="minorBidi"/>
          <w:color w:val="auto"/>
          <w:kern w:val="2"/>
          <w:highlight w:val="none"/>
        </w:rPr>
        <w:t>元/吨/日、21日以上</w:t>
      </w:r>
      <w:r>
        <w:rPr>
          <w:rFonts w:hint="eastAsia" w:ascii="宋体" w:hAnsi="宋体" w:eastAsia="宋体" w:cstheme="minorBidi"/>
          <w:color w:val="auto"/>
          <w:kern w:val="2"/>
          <w:highlight w:val="none"/>
          <w:lang w:val="en-US" w:eastAsia="zh-CN"/>
        </w:rPr>
        <w:t>4</w:t>
      </w:r>
      <w:r>
        <w:rPr>
          <w:rFonts w:hint="eastAsia" w:ascii="宋体" w:hAnsi="宋体" w:eastAsia="宋体" w:cstheme="minorBidi"/>
          <w:color w:val="auto"/>
          <w:kern w:val="2"/>
          <w:highlight w:val="none"/>
        </w:rPr>
        <w:t>元/吨/日。</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cstheme="minorBidi"/>
          <w:b/>
          <w:bCs/>
          <w:color w:val="auto"/>
          <w:kern w:val="2"/>
          <w:highlight w:val="none"/>
        </w:rPr>
        <w:t>第五条</w:t>
      </w:r>
      <w:r>
        <w:rPr>
          <w:rFonts w:ascii="宋体" w:hAnsi="宋体" w:eastAsia="宋体" w:cstheme="minorBidi"/>
          <w:b/>
          <w:bCs/>
          <w:color w:val="auto"/>
          <w:kern w:val="2"/>
          <w:highlight w:val="none"/>
        </w:rPr>
        <w:t xml:space="preserve"> </w:t>
      </w:r>
      <w:r>
        <w:rPr>
          <w:rFonts w:hint="eastAsia" w:ascii="宋体" w:hAnsi="宋体" w:eastAsia="宋体" w:cstheme="minorBidi"/>
          <w:b/>
          <w:bCs/>
          <w:color w:val="auto"/>
          <w:kern w:val="2"/>
          <w:highlight w:val="none"/>
        </w:rPr>
        <w:t>数量</w:t>
      </w:r>
      <w:r>
        <w:rPr>
          <w:rFonts w:ascii="宋体" w:hAnsi="宋体" w:eastAsia="宋体" w:cstheme="minorBidi"/>
          <w:b/>
          <w:bCs/>
          <w:color w:val="auto"/>
          <w:kern w:val="2"/>
          <w:highlight w:val="none"/>
        </w:rPr>
        <w:t>计量与</w:t>
      </w:r>
      <w:r>
        <w:rPr>
          <w:rFonts w:hint="eastAsia" w:ascii="宋体" w:hAnsi="宋体" w:eastAsia="宋体" w:cstheme="minorBidi"/>
          <w:b/>
          <w:bCs/>
          <w:color w:val="auto"/>
          <w:kern w:val="2"/>
          <w:highlight w:val="none"/>
        </w:rPr>
        <w:t>质量</w:t>
      </w:r>
      <w:r>
        <w:rPr>
          <w:rFonts w:ascii="宋体" w:hAnsi="宋体" w:eastAsia="宋体" w:cstheme="minorBidi"/>
          <w:b/>
          <w:bCs/>
          <w:color w:val="auto"/>
          <w:kern w:val="2"/>
          <w:highlight w:val="none"/>
        </w:rPr>
        <w:t>检验</w:t>
      </w:r>
      <w:r>
        <w:rPr>
          <w:rFonts w:hint="eastAsia" w:ascii="宋体" w:hAnsi="宋体" w:eastAsia="宋体" w:cstheme="minorBidi"/>
          <w:b/>
          <w:bCs/>
          <w:color w:val="auto"/>
          <w:kern w:val="2"/>
          <w:highlight w:val="none"/>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w:t>
      </w:r>
      <w:r>
        <w:rPr>
          <w:rFonts w:ascii="宋体" w:hAnsi="宋体" w:eastAsia="宋体" w:cstheme="minorBidi"/>
          <w:color w:val="auto"/>
          <w:kern w:val="2"/>
          <w:highlight w:val="none"/>
        </w:rPr>
        <w:t>.1 交货数量以交货地点标定合格的磅秤计量为准。</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5.2</w:t>
      </w:r>
      <w:r>
        <w:rPr>
          <w:rFonts w:ascii="宋体" w:hAnsi="宋体" w:eastAsia="宋体" w:cstheme="minorBidi"/>
          <w:color w:val="auto"/>
          <w:kern w:val="2"/>
          <w:highlight w:val="none"/>
        </w:rPr>
        <w:t xml:space="preserve"> </w:t>
      </w:r>
      <w:r>
        <w:rPr>
          <w:rFonts w:hint="eastAsia" w:ascii="宋体" w:hAnsi="宋体" w:eastAsia="宋体" w:cstheme="minorBidi"/>
          <w:color w:val="auto"/>
          <w:kern w:val="2"/>
          <w:highlight w:val="none"/>
        </w:rPr>
        <w:t>受标的物特性等因素影响，卖方实际交货数量与合同约定数量可能存在不超过±3%的偏差，在此范围内，合同价款按照实际交货数量和合同约定单价计算。对于因数量偏差导致合同价款的减少，由买卖双方</w:t>
      </w:r>
      <w:r>
        <w:rPr>
          <w:rFonts w:hint="eastAsia" w:ascii="宋体" w:hAnsi="宋体" w:eastAsia="宋体"/>
          <w:highlight w:val="none"/>
        </w:rPr>
        <w:t>通过交易系统进行</w:t>
      </w:r>
      <w:r>
        <w:rPr>
          <w:rFonts w:hint="eastAsia" w:ascii="宋体" w:hAnsi="宋体" w:eastAsia="宋体" w:cstheme="minorBidi"/>
          <w:color w:val="auto"/>
          <w:kern w:val="2"/>
          <w:highlight w:val="none"/>
        </w:rPr>
        <w:t>结算；对于因数量偏差导致合同价款的增加，由买卖双方</w:t>
      </w:r>
      <w:r>
        <w:rPr>
          <w:rFonts w:hint="eastAsia" w:ascii="宋体" w:hAnsi="宋体" w:eastAsia="宋体"/>
          <w:highlight w:val="none"/>
        </w:rPr>
        <w:t>线下自行</w:t>
      </w:r>
      <w:r>
        <w:rPr>
          <w:rFonts w:hint="eastAsia" w:ascii="宋体" w:hAnsi="宋体" w:eastAsia="宋体" w:cstheme="minorBidi"/>
          <w:color w:val="auto"/>
          <w:kern w:val="2"/>
          <w:highlight w:val="none"/>
        </w:rPr>
        <w:t>结算。</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none"/>
        </w:rPr>
        <w:t>5</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3 买方与卖方对出库粮食的数量有</w:t>
      </w:r>
      <w:r>
        <w:rPr>
          <w:rFonts w:ascii="宋体" w:hAnsi="宋体" w:eastAsia="宋体" w:cstheme="minorBidi"/>
          <w:color w:val="auto"/>
          <w:kern w:val="2"/>
          <w:highlight w:val="none"/>
        </w:rPr>
        <w:t>异议的，</w:t>
      </w:r>
      <w:r>
        <w:rPr>
          <w:rFonts w:hint="eastAsia" w:ascii="宋体" w:hAnsi="宋体" w:eastAsia="宋体" w:cstheme="minorBidi"/>
          <w:color w:val="auto"/>
          <w:kern w:val="2"/>
          <w:highlight w:val="none"/>
        </w:rPr>
        <w:t>应停止出库，双方协商解决，协商不成的，3个工作日内线上申请粮源地省级交易中心调解。</w:t>
      </w:r>
    </w:p>
    <w:p>
      <w:pPr>
        <w:pStyle w:val="14"/>
        <w:spacing w:line="460" w:lineRule="exact"/>
        <w:jc w:val="both"/>
        <w:rPr>
          <w:rFonts w:ascii="宋体" w:hAnsi="宋体" w:eastAsia="宋体"/>
          <w:highlight w:val="none"/>
        </w:rPr>
      </w:pPr>
      <w:r>
        <w:rPr>
          <w:rFonts w:ascii="宋体" w:hAnsi="宋体" w:eastAsia="宋体"/>
          <w:highlight w:val="none"/>
        </w:rPr>
        <w:t>5.</w:t>
      </w:r>
      <w:r>
        <w:rPr>
          <w:rFonts w:hint="eastAsia" w:ascii="宋体" w:hAnsi="宋体" w:eastAsia="宋体"/>
          <w:highlight w:val="none"/>
        </w:rPr>
        <w:t>4</w:t>
      </w:r>
      <w:r>
        <w:rPr>
          <w:rFonts w:ascii="宋体" w:hAnsi="宋体" w:eastAsia="宋体"/>
          <w:highlight w:val="none"/>
        </w:rPr>
        <w:t xml:space="preserve"> </w:t>
      </w:r>
      <w:r>
        <w:rPr>
          <w:rFonts w:hint="eastAsia" w:ascii="宋体" w:hAnsi="宋体" w:eastAsia="宋体"/>
          <w:highlight w:val="none"/>
        </w:rPr>
        <w:t>调解过程中，买卖双方对数量有异议的，由粮源地省级交易中心委托有资质的检验检测机构校验计量器具或申请计量部门对计量器具重新校准，并以此为最终依据，所发生的费用和损失由过错方承担。</w:t>
      </w:r>
    </w:p>
    <w:p>
      <w:pPr>
        <w:pStyle w:val="14"/>
        <w:spacing w:line="460" w:lineRule="exact"/>
        <w:jc w:val="both"/>
        <w:rPr>
          <w:rFonts w:hint="eastAsia" w:ascii="宋体" w:hAnsi="宋体" w:eastAsia="宋体"/>
          <w:b/>
          <w:bCs/>
          <w:highlight w:val="none"/>
        </w:rPr>
      </w:pPr>
      <w:r>
        <w:rPr>
          <w:rFonts w:hint="eastAsia" w:ascii="宋体" w:hAnsi="宋体" w:eastAsia="宋体"/>
          <w:b/>
          <w:bCs/>
          <w:highlight w:val="none"/>
        </w:rPr>
        <w:t>第六条 货物交割及货款结算：</w:t>
      </w:r>
    </w:p>
    <w:p>
      <w:pPr>
        <w:pStyle w:val="14"/>
        <w:spacing w:line="460" w:lineRule="exact"/>
        <w:jc w:val="both"/>
        <w:rPr>
          <w:rFonts w:hint="eastAsia" w:ascii="宋体" w:hAnsi="宋体" w:eastAsia="宋体"/>
          <w:b/>
          <w:bCs/>
          <w:highlight w:val="none"/>
        </w:rPr>
      </w:pPr>
      <w:r>
        <w:rPr>
          <w:rFonts w:hint="eastAsia" w:ascii="宋体" w:hAnsi="宋体" w:eastAsia="宋体"/>
          <w:highlight w:val="none"/>
          <w:lang w:val="en-US" w:eastAsia="zh-CN"/>
        </w:rPr>
        <w:t>6.1 买方确认已提前熟悉进口大豆海关政策与调运流程，并已确认可以办理相关海关手续。</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2</w:t>
      </w:r>
      <w:r>
        <w:rPr>
          <w:rFonts w:ascii="宋体" w:hAnsi="宋体" w:eastAsia="宋体"/>
          <w:highlight w:val="none"/>
        </w:rPr>
        <w:t xml:space="preserve"> </w:t>
      </w:r>
      <w:r>
        <w:rPr>
          <w:rFonts w:hint="eastAsia" w:ascii="宋体" w:hAnsi="宋体" w:eastAsia="宋体"/>
          <w:highlight w:val="none"/>
        </w:rPr>
        <w:t>买方应在履约期内按《交易公告》的要求将全额货款一次或分批汇入国家粮食交易中心指定的银行账户，粮源地省级交易中心确认货款到账后，由买方在交易系统自行填写电子《出库通知单》，粮源地省级交易中心在1个工作日内完成确认。卖方根据粮源地省级交易中心盖章确认后的《出库通知单》，开具中央储备粮出库令及提货单。</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3</w:t>
      </w:r>
      <w:r>
        <w:rPr>
          <w:rFonts w:ascii="宋体" w:hAnsi="宋体" w:eastAsia="宋体"/>
          <w:highlight w:val="none"/>
        </w:rPr>
        <w:t xml:space="preserve"> </w:t>
      </w:r>
      <w:r>
        <w:rPr>
          <w:rFonts w:hint="eastAsia" w:ascii="宋体" w:hAnsi="宋体" w:eastAsia="宋体"/>
          <w:highlight w:val="none"/>
        </w:rPr>
        <w:t>买方准备提货时，应提前2个工作日书面或电话通知卖方，卖方接到出库通知后，应做好各项出库准备，安排足够人员、设备等，确保按正常日出库能力均衡出库。</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4</w:t>
      </w:r>
      <w:r>
        <w:rPr>
          <w:rFonts w:ascii="宋体" w:hAnsi="宋体" w:eastAsia="宋体"/>
          <w:highlight w:val="none"/>
        </w:rPr>
        <w:t xml:space="preserve"> </w:t>
      </w:r>
      <w:r>
        <w:rPr>
          <w:rFonts w:hint="eastAsia" w:ascii="宋体" w:hAnsi="宋体" w:eastAsia="宋体"/>
          <w:highlight w:val="none"/>
        </w:rPr>
        <w:t>买卖双方对已出库粮食验收无误且对销售发票开具方式和金额无争议的，双方通过交易系统签署电子《验收确认单》。粮源地省级交易中心在《验收确认单》签署之日起2个工作日内将货款划入卖方在中国农业发展银行的账户。</w:t>
      </w:r>
    </w:p>
    <w:p>
      <w:pPr>
        <w:pStyle w:val="14"/>
        <w:spacing w:line="460" w:lineRule="exact"/>
        <w:jc w:val="both"/>
        <w:rPr>
          <w:rFonts w:ascii="宋体" w:hAnsi="宋体" w:eastAsia="宋体"/>
          <w:highlight w:val="none"/>
        </w:rPr>
      </w:pPr>
      <w:r>
        <w:rPr>
          <w:rFonts w:hint="eastAsia" w:ascii="宋体" w:hAnsi="宋体" w:eastAsia="宋体"/>
          <w:highlight w:val="none"/>
        </w:rPr>
        <w:t>6.</w:t>
      </w:r>
      <w:r>
        <w:rPr>
          <w:rFonts w:hint="eastAsia" w:ascii="宋体" w:hAnsi="宋体" w:eastAsia="宋体"/>
          <w:highlight w:val="none"/>
          <w:lang w:val="en-US" w:eastAsia="zh-CN"/>
        </w:rPr>
        <w:t>5</w:t>
      </w:r>
      <w:r>
        <w:rPr>
          <w:rFonts w:ascii="宋体" w:hAnsi="宋体" w:eastAsia="宋体"/>
          <w:highlight w:val="none"/>
        </w:rPr>
        <w:t xml:space="preserve"> </w:t>
      </w:r>
      <w:r>
        <w:rPr>
          <w:rFonts w:hint="eastAsia" w:ascii="宋体" w:hAnsi="宋体" w:eastAsia="宋体"/>
          <w:highlight w:val="none"/>
        </w:rPr>
        <w:t>合同履约期届满之日起</w:t>
      </w:r>
      <w:r>
        <w:rPr>
          <w:rFonts w:ascii="宋体" w:hAnsi="宋体" w:eastAsia="宋体"/>
          <w:highlight w:val="none"/>
        </w:rPr>
        <w:t>10日内，买卖双方未签署</w:t>
      </w:r>
      <w:r>
        <w:rPr>
          <w:rFonts w:hint="eastAsia" w:ascii="宋体" w:hAnsi="宋体" w:eastAsia="宋体"/>
          <w:highlight w:val="none"/>
        </w:rPr>
        <w:t>电子</w:t>
      </w:r>
      <w:r>
        <w:rPr>
          <w:rFonts w:ascii="宋体" w:hAnsi="宋体" w:eastAsia="宋体"/>
          <w:highlight w:val="none"/>
        </w:rPr>
        <w:t>《验收确认单》且未向省级交易中心线上或书面</w:t>
      </w:r>
      <w:r>
        <w:rPr>
          <w:rFonts w:hint="eastAsia" w:ascii="宋体" w:hAnsi="宋体" w:eastAsia="宋体"/>
          <w:highlight w:val="none"/>
        </w:rPr>
        <w:t>提出异议</w:t>
      </w:r>
      <w:r>
        <w:rPr>
          <w:rFonts w:ascii="宋体" w:hAnsi="宋体" w:eastAsia="宋体"/>
          <w:highlight w:val="none"/>
        </w:rPr>
        <w:t>的，视同验收</w:t>
      </w:r>
      <w:r>
        <w:rPr>
          <w:rFonts w:hint="eastAsia" w:ascii="宋体" w:hAnsi="宋体" w:eastAsia="宋体"/>
          <w:highlight w:val="none"/>
        </w:rPr>
        <w:t>无误</w:t>
      </w:r>
      <w:r>
        <w:rPr>
          <w:rFonts w:ascii="宋体" w:hAnsi="宋体" w:eastAsia="宋体"/>
          <w:highlight w:val="none"/>
        </w:rPr>
        <w:t>出库完毕。</w:t>
      </w:r>
    </w:p>
    <w:p>
      <w:pPr>
        <w:pStyle w:val="14"/>
        <w:spacing w:line="460" w:lineRule="exact"/>
        <w:jc w:val="both"/>
        <w:rPr>
          <w:rFonts w:ascii="宋体" w:hAnsi="宋体" w:eastAsia="宋体" w:cstheme="minorBidi"/>
          <w:b/>
          <w:bCs/>
          <w:color w:val="auto"/>
          <w:kern w:val="2"/>
          <w:highlight w:val="none"/>
        </w:rPr>
      </w:pPr>
      <w:r>
        <w:rPr>
          <w:rFonts w:hint="eastAsia" w:ascii="宋体" w:hAnsi="宋体" w:eastAsia="宋体" w:cstheme="minorBidi"/>
          <w:b/>
          <w:bCs/>
          <w:color w:val="auto"/>
          <w:kern w:val="2"/>
          <w:highlight w:val="none"/>
        </w:rPr>
        <w:t>第七条 追加保证金：</w:t>
      </w:r>
    </w:p>
    <w:p>
      <w:pPr>
        <w:pStyle w:val="14"/>
        <w:spacing w:line="460" w:lineRule="exact"/>
        <w:jc w:val="both"/>
        <w:rPr>
          <w:rFonts w:hint="eastAsia" w:ascii="宋体" w:hAnsi="宋体" w:eastAsia="宋体"/>
          <w:highlight w:val="yellow"/>
          <w:lang w:val="en-US" w:eastAsia="zh-CN"/>
        </w:rPr>
      </w:pPr>
      <w:r>
        <w:rPr>
          <w:rFonts w:hint="eastAsia" w:ascii="宋体" w:hAnsi="宋体" w:eastAsia="宋体" w:cstheme="minorBidi"/>
          <w:color w:val="auto"/>
          <w:kern w:val="2"/>
          <w:highlight w:val="yellow"/>
          <w:lang w:val="en-US" w:eastAsia="zh-CN"/>
        </w:rPr>
        <w:t>7.1 买方应于本合同签订后2个工作日内，追加支付220元/吨履约保证金，汇至《交易公告》指定的国家粮食交易中心银行账户</w:t>
      </w:r>
      <w:r>
        <w:rPr>
          <w:rFonts w:hint="eastAsia" w:ascii="宋体" w:hAnsi="宋体" w:eastAsia="宋体"/>
          <w:highlight w:val="yellow"/>
          <w:lang w:val="en-US" w:eastAsia="zh-CN"/>
        </w:rPr>
        <w:t>。</w:t>
      </w:r>
    </w:p>
    <w:p>
      <w:pPr>
        <w:pStyle w:val="14"/>
        <w:spacing w:line="460" w:lineRule="exact"/>
        <w:jc w:val="both"/>
        <w:rPr>
          <w:rFonts w:ascii="宋体" w:hAnsi="宋体" w:eastAsia="宋体" w:cstheme="minorBidi"/>
          <w:color w:val="auto"/>
          <w:kern w:val="2"/>
          <w:highlight w:val="none"/>
        </w:rPr>
      </w:pPr>
      <w:r>
        <w:rPr>
          <w:rFonts w:hint="eastAsia" w:ascii="宋体" w:hAnsi="宋体" w:eastAsia="宋体" w:cstheme="minorBidi"/>
          <w:color w:val="auto"/>
          <w:kern w:val="2"/>
          <w:highlight w:val="yellow"/>
          <w:lang w:val="en-US" w:eastAsia="zh-CN"/>
        </w:rPr>
        <w:t xml:space="preserve">7.2 </w:t>
      </w:r>
      <w:r>
        <w:rPr>
          <w:rFonts w:hint="eastAsia" w:ascii="宋体" w:hAnsi="宋体" w:eastAsia="宋体" w:cstheme="minorBidi"/>
          <w:color w:val="auto"/>
          <w:kern w:val="2"/>
          <w:highlight w:val="none"/>
        </w:rPr>
        <w:t>履约期内</w:t>
      </w:r>
      <w:r>
        <w:rPr>
          <w:rFonts w:ascii="宋体" w:hAnsi="宋体" w:eastAsia="宋体" w:cstheme="minorBidi"/>
          <w:color w:val="auto"/>
          <w:kern w:val="2"/>
          <w:highlight w:val="none"/>
        </w:rPr>
        <w:t>，买方未付清全款的，因大连商品交易所</w:t>
      </w:r>
      <w:r>
        <w:rPr>
          <w:rFonts w:hint="eastAsia" w:ascii="宋体" w:hAnsi="宋体" w:eastAsia="宋体" w:cstheme="minorBidi"/>
          <w:color w:val="auto"/>
          <w:kern w:val="2"/>
          <w:highlight w:val="none"/>
        </w:rPr>
        <w:t>豆粕2</w:t>
      </w:r>
      <w:r>
        <w:rPr>
          <w:rFonts w:hint="eastAsia" w:ascii="宋体" w:hAnsi="宋体" w:eastAsia="宋体" w:cstheme="minorBidi"/>
          <w:color w:val="auto"/>
          <w:kern w:val="2"/>
          <w:highlight w:val="none"/>
          <w:lang w:val="en-US" w:eastAsia="zh-CN"/>
        </w:rPr>
        <w:t>409</w:t>
      </w:r>
      <w:r>
        <w:rPr>
          <w:rFonts w:hint="eastAsia" w:ascii="宋体" w:hAnsi="宋体" w:eastAsia="宋体" w:cstheme="minorBidi"/>
          <w:color w:val="auto"/>
          <w:kern w:val="2"/>
          <w:highlight w:val="none"/>
        </w:rPr>
        <w:t>期货</w:t>
      </w:r>
      <w:r>
        <w:rPr>
          <w:rFonts w:ascii="宋体" w:hAnsi="宋体" w:eastAsia="宋体" w:cstheme="minorBidi"/>
          <w:color w:val="auto"/>
          <w:kern w:val="2"/>
          <w:highlight w:val="none"/>
        </w:rPr>
        <w:t>合约行情变化，需要对</w:t>
      </w:r>
      <w:r>
        <w:rPr>
          <w:rFonts w:hint="eastAsia" w:ascii="宋体" w:hAnsi="宋体" w:eastAsia="宋体" w:cstheme="minorBidi"/>
          <w:color w:val="auto"/>
          <w:kern w:val="2"/>
          <w:highlight w:val="none"/>
        </w:rPr>
        <w:t>合同</w:t>
      </w:r>
      <w:r>
        <w:rPr>
          <w:rFonts w:ascii="宋体" w:hAnsi="宋体" w:eastAsia="宋体" w:cstheme="minorBidi"/>
          <w:color w:val="auto"/>
          <w:kern w:val="2"/>
          <w:highlight w:val="none"/>
        </w:rPr>
        <w:t>未</w:t>
      </w:r>
      <w:r>
        <w:rPr>
          <w:rFonts w:hint="eastAsia" w:ascii="宋体" w:hAnsi="宋体" w:eastAsia="宋体" w:cstheme="minorBidi"/>
          <w:color w:val="auto"/>
          <w:kern w:val="2"/>
          <w:highlight w:val="none"/>
        </w:rPr>
        <w:t>付款</w:t>
      </w:r>
      <w:r>
        <w:rPr>
          <w:rFonts w:ascii="宋体" w:hAnsi="宋体" w:eastAsia="宋体" w:cstheme="minorBidi"/>
          <w:color w:val="auto"/>
          <w:kern w:val="2"/>
          <w:highlight w:val="none"/>
        </w:rPr>
        <w:t>部分追加保证金的，买方应在收到卖方通知后1个工作日内将追加的保证金</w:t>
      </w:r>
      <w:r>
        <w:rPr>
          <w:rFonts w:hint="eastAsia" w:ascii="宋体" w:hAnsi="宋体" w:eastAsia="宋体" w:cstheme="minorBidi"/>
          <w:color w:val="auto"/>
          <w:kern w:val="2"/>
          <w:highlight w:val="none"/>
        </w:rPr>
        <w:t>汇至《交易公告》指定的国家粮食交易中心银行账户</w:t>
      </w:r>
      <w:r>
        <w:rPr>
          <w:rFonts w:ascii="宋体" w:hAnsi="宋体" w:eastAsia="宋体" w:cstheme="minorBidi"/>
          <w:color w:val="auto"/>
          <w:kern w:val="2"/>
          <w:highlight w:val="none"/>
        </w:rPr>
        <w:t>。具体标准为：若大连商品交易所</w:t>
      </w:r>
      <w:r>
        <w:rPr>
          <w:rFonts w:hint="eastAsia" w:ascii="宋体" w:hAnsi="宋体" w:eastAsia="宋体" w:cstheme="minorBidi"/>
          <w:color w:val="auto"/>
          <w:kern w:val="2"/>
          <w:highlight w:val="none"/>
        </w:rPr>
        <w:t>豆粕</w:t>
      </w:r>
      <w:r>
        <w:rPr>
          <w:rFonts w:hint="eastAsia" w:ascii="宋体" w:hAnsi="宋体" w:eastAsia="宋体" w:cstheme="minorBidi"/>
          <w:color w:val="auto"/>
          <w:kern w:val="2"/>
          <w:highlight w:val="none"/>
          <w:lang w:val="en-US" w:eastAsia="zh-CN"/>
        </w:rPr>
        <w:t>2409</w:t>
      </w:r>
      <w:r>
        <w:rPr>
          <w:rFonts w:ascii="宋体" w:hAnsi="宋体" w:eastAsia="宋体" w:cstheme="minorBidi"/>
          <w:color w:val="auto"/>
          <w:kern w:val="2"/>
          <w:highlight w:val="none"/>
        </w:rPr>
        <w:t>期货合约（该合约到期后，以同品种下一个主力合约为准，依此类推</w:t>
      </w:r>
      <w:r>
        <w:rPr>
          <w:rFonts w:hint="eastAsia" w:ascii="宋体" w:hAnsi="宋体" w:eastAsia="宋体" w:cstheme="minorBidi"/>
          <w:color w:val="auto"/>
          <w:kern w:val="2"/>
          <w:highlight w:val="none"/>
        </w:rPr>
        <w:t>，下同</w:t>
      </w:r>
      <w:r>
        <w:rPr>
          <w:rFonts w:ascii="宋体" w:hAnsi="宋体" w:eastAsia="宋体" w:cstheme="minorBidi"/>
          <w:color w:val="auto"/>
          <w:kern w:val="2"/>
          <w:highlight w:val="none"/>
        </w:rPr>
        <w:t>）</w:t>
      </w:r>
      <w:r>
        <w:rPr>
          <w:rFonts w:hint="eastAsia" w:ascii="宋体" w:hAnsi="宋体" w:eastAsia="宋体" w:cstheme="minorBidi"/>
          <w:color w:val="auto"/>
          <w:kern w:val="2"/>
          <w:highlight w:val="none"/>
        </w:rPr>
        <w:t>与</w:t>
      </w:r>
      <w:r>
        <w:rPr>
          <w:rFonts w:ascii="宋体" w:hAnsi="宋体" w:eastAsia="宋体" w:cstheme="minorBidi"/>
          <w:color w:val="auto"/>
          <w:kern w:val="2"/>
          <w:highlight w:val="none"/>
        </w:rPr>
        <w:t>该商品交易所</w:t>
      </w:r>
      <w:r>
        <w:rPr>
          <w:rFonts w:hint="eastAsia" w:ascii="宋体" w:hAnsi="宋体" w:eastAsia="宋体" w:cstheme="minorBidi"/>
          <w:color w:val="auto"/>
          <w:kern w:val="2"/>
          <w:highlight w:val="none"/>
        </w:rPr>
        <w:t>豆粕</w:t>
      </w:r>
      <w:r>
        <w:rPr>
          <w:rFonts w:hint="eastAsia" w:ascii="宋体" w:hAnsi="宋体" w:eastAsia="宋体" w:cstheme="minorBidi"/>
          <w:color w:val="auto"/>
          <w:kern w:val="2"/>
          <w:highlight w:val="none"/>
          <w:lang w:val="en-US" w:eastAsia="zh-CN"/>
        </w:rPr>
        <w:t>2409</w:t>
      </w:r>
      <w:r>
        <w:rPr>
          <w:rFonts w:ascii="宋体" w:hAnsi="宋体" w:eastAsia="宋体" w:cstheme="minorBidi"/>
          <w:color w:val="auto"/>
          <w:kern w:val="2"/>
          <w:highlight w:val="none"/>
        </w:rPr>
        <w:t>期货合约在本合同成交日的收盘价</w:t>
      </w:r>
      <w:r>
        <w:rPr>
          <w:rFonts w:hint="eastAsia" w:ascii="宋体" w:hAnsi="宋体" w:eastAsia="宋体" w:cstheme="minorBidi"/>
          <w:color w:val="auto"/>
          <w:kern w:val="2"/>
          <w:highlight w:val="none"/>
        </w:rPr>
        <w:t>相比，</w:t>
      </w:r>
      <w:r>
        <w:rPr>
          <w:rFonts w:ascii="宋体" w:hAnsi="宋体" w:eastAsia="宋体" w:cstheme="minorBidi"/>
          <w:color w:val="auto"/>
          <w:kern w:val="2"/>
          <w:highlight w:val="none"/>
        </w:rPr>
        <w:t>每下跌达到5%，买方应就未</w:t>
      </w:r>
      <w:r>
        <w:rPr>
          <w:rFonts w:hint="eastAsia" w:ascii="宋体" w:hAnsi="宋体" w:eastAsia="宋体" w:cstheme="minorBidi"/>
          <w:color w:val="auto"/>
          <w:kern w:val="2"/>
          <w:highlight w:val="none"/>
        </w:rPr>
        <w:t>付款</w:t>
      </w:r>
      <w:r>
        <w:rPr>
          <w:rFonts w:ascii="宋体" w:hAnsi="宋体" w:eastAsia="宋体" w:cstheme="minorBidi"/>
          <w:color w:val="auto"/>
          <w:kern w:val="2"/>
          <w:highlight w:val="none"/>
        </w:rPr>
        <w:t>部分向卖方追加相应跌幅的保证金。在买方无违约行为</w:t>
      </w:r>
      <w:r>
        <w:rPr>
          <w:rFonts w:hint="eastAsia" w:ascii="宋体" w:hAnsi="宋体" w:eastAsia="宋体" w:cstheme="minorBidi"/>
          <w:color w:val="auto"/>
          <w:kern w:val="2"/>
          <w:highlight w:val="none"/>
        </w:rPr>
        <w:t>的前提下，追加保证金可冲抵最后一笔货款，如有剩余在合同履行完毕后</w:t>
      </w:r>
      <w:r>
        <w:rPr>
          <w:rFonts w:ascii="宋体" w:hAnsi="宋体" w:eastAsia="宋体" w:cstheme="minorBidi"/>
          <w:color w:val="auto"/>
          <w:kern w:val="2"/>
          <w:highlight w:val="none"/>
        </w:rPr>
        <w:t>原路退回。</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第八条 违约责任：</w:t>
      </w:r>
    </w:p>
    <w:p>
      <w:pPr>
        <w:pStyle w:val="14"/>
        <w:spacing w:line="460" w:lineRule="exact"/>
        <w:jc w:val="both"/>
        <w:rPr>
          <w:rFonts w:ascii="宋体" w:hAnsi="宋体" w:eastAsia="宋体"/>
          <w:highlight w:val="none"/>
        </w:rPr>
      </w:pPr>
      <w:r>
        <w:rPr>
          <w:rFonts w:ascii="宋体" w:hAnsi="宋体" w:eastAsia="宋体"/>
          <w:highlight w:val="none"/>
        </w:rPr>
        <w:t xml:space="preserve">8.1 </w:t>
      </w:r>
      <w:r>
        <w:rPr>
          <w:rFonts w:hint="eastAsia" w:ascii="宋体" w:hAnsi="宋体" w:eastAsia="宋体"/>
          <w:highlight w:val="none"/>
        </w:rPr>
        <w:t>合同履约期内，非因卖方原因，买方拒不履行合同义务，即为买方违约。粮源地省级交易中心扣缴交易平台已锁定的全部履约保证金（含追加保证金）并支付给卖方，交易保证金划归省级交易中心所有。</w:t>
      </w:r>
    </w:p>
    <w:p>
      <w:pPr>
        <w:pStyle w:val="14"/>
        <w:spacing w:line="460" w:lineRule="exact"/>
        <w:jc w:val="both"/>
        <w:rPr>
          <w:rFonts w:hint="eastAsia" w:ascii="宋体" w:hAnsi="宋体" w:eastAsia="宋体"/>
          <w:highlight w:val="none"/>
        </w:rPr>
      </w:pPr>
      <w:r>
        <w:rPr>
          <w:rFonts w:ascii="宋体" w:hAnsi="宋体" w:eastAsia="宋体"/>
          <w:highlight w:val="none"/>
        </w:rPr>
        <w:t xml:space="preserve">8.2 </w:t>
      </w:r>
      <w:r>
        <w:rPr>
          <w:rFonts w:hint="eastAsia" w:ascii="宋体" w:hAnsi="宋体" w:eastAsia="宋体"/>
          <w:highlight w:val="none"/>
        </w:rPr>
        <w:t>非因买方原因，卖方未按合同规定的时间、品种、数量完成交货的，或提供的交易清单中粮食质量数据与实际储存库点提报的实际检测结果不一致引发争议的，买卖双方可协商解决，不能协商一致的，即为卖方违约，粮源地省级交易中心有权针对卖方违约作出处理决定，买卖双方应遵照执行。</w:t>
      </w:r>
    </w:p>
    <w:p>
      <w:pPr>
        <w:pStyle w:val="14"/>
        <w:spacing w:line="460" w:lineRule="exact"/>
        <w:jc w:val="both"/>
        <w:rPr>
          <w:rFonts w:hint="eastAsia" w:ascii="宋体" w:hAnsi="宋体" w:eastAsia="宋体"/>
          <w:highlight w:val="none"/>
        </w:rPr>
      </w:pPr>
      <w:r>
        <w:rPr>
          <w:rFonts w:hint="eastAsia" w:ascii="宋体" w:hAnsi="宋体" w:eastAsia="宋体"/>
          <w:highlight w:val="none"/>
        </w:rPr>
        <w:t>8.3 非因卖方原因，买方无法办理海关手续，导致合同无法履行的，卖方有权解除合同并将该批大豆重新销售，重新销售价格与本合同销售价格之间的价差损失及在此期间产生的额外费用由买方承担。</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hint="eastAsia" w:ascii="宋体" w:hAnsi="宋体" w:eastAsia="宋体"/>
          <w:highlight w:val="none"/>
          <w:lang w:val="en-US" w:eastAsia="zh-CN"/>
        </w:rPr>
        <w:t>4</w:t>
      </w:r>
      <w:r>
        <w:rPr>
          <w:rFonts w:hint="eastAsia" w:ascii="宋体" w:hAnsi="宋体" w:eastAsia="宋体"/>
          <w:highlight w:val="none"/>
        </w:rPr>
        <w:t xml:space="preserve"> 除第8.1条约定之外，买方违约情形下，卖方还有权按以下标准直接向买方主张违约金，由此引发的争议由买卖双方自行解决：</w:t>
      </w:r>
    </w:p>
    <w:p>
      <w:pPr>
        <w:pStyle w:val="14"/>
        <w:spacing w:line="460" w:lineRule="exact"/>
        <w:jc w:val="both"/>
        <w:rPr>
          <w:rFonts w:ascii="宋体" w:hAnsi="宋体" w:eastAsia="宋体"/>
          <w:highlight w:val="none"/>
        </w:rPr>
      </w:pPr>
      <w:r>
        <w:rPr>
          <w:rFonts w:hint="eastAsia" w:ascii="宋体" w:hAnsi="宋体" w:eastAsia="宋体"/>
          <w:highlight w:val="none"/>
        </w:rPr>
        <w:t>（</w:t>
      </w:r>
      <w:r>
        <w:rPr>
          <w:rFonts w:ascii="宋体" w:hAnsi="宋体" w:eastAsia="宋体"/>
          <w:highlight w:val="none"/>
        </w:rPr>
        <w:t>1）</w:t>
      </w:r>
      <w:r>
        <w:rPr>
          <w:rFonts w:hint="eastAsia" w:ascii="宋体" w:hAnsi="宋体" w:eastAsia="宋体"/>
          <w:highlight w:val="none"/>
        </w:rPr>
        <w:t>每逾期支付货款1天，买方应就未支付款项按照每天0.3‰的标准，向卖方支付违约金</w:t>
      </w:r>
      <w:r>
        <w:rPr>
          <w:rFonts w:ascii="宋体" w:hAnsi="宋体" w:eastAsia="宋体"/>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w:t>
      </w:r>
      <w:r>
        <w:rPr>
          <w:rFonts w:ascii="宋体" w:hAnsi="宋体" w:eastAsia="宋体"/>
          <w:highlight w:val="none"/>
        </w:rPr>
        <w:t>2）</w:t>
      </w:r>
      <w:r>
        <w:rPr>
          <w:rFonts w:hint="eastAsia" w:ascii="宋体" w:hAnsi="宋体" w:eastAsia="宋体"/>
          <w:highlight w:val="none"/>
        </w:rPr>
        <w:t>逾期未提取货物的，买方应向卖方支付违约金，违约金采用分段累进的方式计算：逾期30日（含）以内为</w:t>
      </w:r>
      <w:r>
        <w:rPr>
          <w:rFonts w:hint="eastAsia" w:ascii="宋体" w:hAnsi="宋体" w:eastAsia="宋体"/>
          <w:highlight w:val="none"/>
          <w:lang w:val="en-US" w:eastAsia="zh-CN"/>
        </w:rPr>
        <w:t>3</w:t>
      </w:r>
      <w:r>
        <w:rPr>
          <w:rFonts w:hint="eastAsia" w:ascii="宋体" w:hAnsi="宋体" w:eastAsia="宋体"/>
          <w:highlight w:val="none"/>
        </w:rPr>
        <w:t>元/吨/日；30日以上至60日（含）为</w:t>
      </w:r>
      <w:r>
        <w:rPr>
          <w:rFonts w:hint="eastAsia" w:ascii="宋体" w:hAnsi="宋体" w:eastAsia="宋体"/>
          <w:highlight w:val="none"/>
          <w:lang w:val="en-US" w:eastAsia="zh-CN"/>
        </w:rPr>
        <w:t>4</w:t>
      </w:r>
      <w:r>
        <w:rPr>
          <w:rFonts w:hint="eastAsia" w:ascii="宋体" w:hAnsi="宋体" w:eastAsia="宋体"/>
          <w:highlight w:val="none"/>
        </w:rPr>
        <w:t>元/吨/日；60日以上为</w:t>
      </w:r>
      <w:r>
        <w:rPr>
          <w:rFonts w:hint="eastAsia" w:ascii="宋体" w:hAnsi="宋体" w:eastAsia="宋体"/>
          <w:highlight w:val="none"/>
          <w:lang w:val="en-US" w:eastAsia="zh-CN"/>
        </w:rPr>
        <w:t>5</w:t>
      </w:r>
      <w:r>
        <w:rPr>
          <w:rFonts w:hint="eastAsia" w:ascii="宋体" w:hAnsi="宋体" w:eastAsia="宋体"/>
          <w:highlight w:val="none"/>
        </w:rPr>
        <w:t>元/吨/日</w:t>
      </w:r>
      <w:r>
        <w:rPr>
          <w:rFonts w:ascii="宋体" w:hAnsi="宋体" w:eastAsia="宋体"/>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hint="eastAsia" w:ascii="宋体" w:hAnsi="宋体" w:eastAsia="宋体"/>
          <w:highlight w:val="none"/>
          <w:lang w:val="en-US" w:eastAsia="zh-CN"/>
        </w:rPr>
        <w:t>5</w:t>
      </w:r>
      <w:r>
        <w:rPr>
          <w:rFonts w:ascii="宋体" w:hAnsi="宋体" w:eastAsia="宋体"/>
          <w:highlight w:val="none"/>
        </w:rPr>
        <w:t xml:space="preserve"> </w:t>
      </w:r>
      <w:r>
        <w:rPr>
          <w:rFonts w:hint="eastAsia" w:ascii="宋体" w:hAnsi="宋体" w:eastAsia="宋体"/>
          <w:highlight w:val="none"/>
        </w:rPr>
        <w:t>买方逾期付款或提货，</w:t>
      </w:r>
      <w:r>
        <w:rPr>
          <w:rFonts w:ascii="宋体" w:hAnsi="宋体" w:eastAsia="宋体" w:cstheme="minorBidi"/>
          <w:color w:val="auto"/>
          <w:kern w:val="2"/>
          <w:highlight w:val="none"/>
        </w:rPr>
        <w:t>买卖双方</w:t>
      </w:r>
      <w:r>
        <w:rPr>
          <w:rFonts w:hint="eastAsia" w:ascii="宋体" w:hAnsi="宋体" w:eastAsia="宋体" w:cstheme="minorBidi"/>
          <w:color w:val="auto"/>
          <w:kern w:val="2"/>
          <w:highlight w:val="none"/>
        </w:rPr>
        <w:t>未能</w:t>
      </w:r>
      <w:r>
        <w:rPr>
          <w:rFonts w:ascii="宋体" w:hAnsi="宋体" w:eastAsia="宋体" w:cstheme="minorBidi"/>
          <w:color w:val="auto"/>
          <w:kern w:val="2"/>
          <w:highlight w:val="none"/>
        </w:rPr>
        <w:t>协商</w:t>
      </w:r>
      <w:r>
        <w:rPr>
          <w:rFonts w:hint="eastAsia" w:ascii="宋体" w:hAnsi="宋体" w:eastAsia="宋体" w:cstheme="minorBidi"/>
          <w:color w:val="auto"/>
          <w:kern w:val="2"/>
          <w:highlight w:val="none"/>
        </w:rPr>
        <w:t>一致</w:t>
      </w:r>
      <w:r>
        <w:rPr>
          <w:rFonts w:ascii="宋体" w:hAnsi="宋体" w:eastAsia="宋体" w:cstheme="minorBidi"/>
          <w:color w:val="auto"/>
          <w:kern w:val="2"/>
          <w:highlight w:val="none"/>
        </w:rPr>
        <w:t>延期</w:t>
      </w:r>
      <w:r>
        <w:rPr>
          <w:rFonts w:hint="eastAsia" w:ascii="宋体" w:hAnsi="宋体" w:eastAsia="宋体" w:cstheme="minorBidi"/>
          <w:color w:val="auto"/>
          <w:kern w:val="2"/>
          <w:highlight w:val="none"/>
        </w:rPr>
        <w:t>履行</w:t>
      </w:r>
      <w:r>
        <w:rPr>
          <w:rFonts w:ascii="宋体" w:hAnsi="宋体" w:eastAsia="宋体" w:cstheme="minorBidi"/>
          <w:color w:val="auto"/>
          <w:kern w:val="2"/>
          <w:highlight w:val="none"/>
        </w:rPr>
        <w:t>的，</w:t>
      </w:r>
      <w:r>
        <w:rPr>
          <w:rFonts w:ascii="宋体" w:hAnsi="宋体" w:eastAsia="宋体"/>
          <w:highlight w:val="none"/>
        </w:rPr>
        <w:t>卖方有权解除本合同，另行处置</w:t>
      </w:r>
      <w:r>
        <w:rPr>
          <w:rFonts w:hint="eastAsia" w:ascii="宋体" w:hAnsi="宋体" w:eastAsia="宋体"/>
          <w:highlight w:val="none"/>
        </w:rPr>
        <w:t>未履行部分的</w:t>
      </w:r>
      <w:r>
        <w:rPr>
          <w:rFonts w:ascii="宋体" w:hAnsi="宋体" w:eastAsia="宋体"/>
          <w:highlight w:val="none"/>
        </w:rPr>
        <w:t>货物。</w:t>
      </w:r>
    </w:p>
    <w:p>
      <w:pPr>
        <w:pStyle w:val="14"/>
        <w:spacing w:line="460" w:lineRule="exact"/>
        <w:jc w:val="both"/>
        <w:rPr>
          <w:rFonts w:ascii="宋体" w:hAnsi="宋体" w:eastAsia="宋体"/>
          <w:highlight w:val="none"/>
        </w:rPr>
      </w:pPr>
      <w:r>
        <w:rPr>
          <w:rFonts w:hint="eastAsia" w:ascii="宋体" w:hAnsi="宋体" w:eastAsia="宋体"/>
          <w:highlight w:val="none"/>
        </w:rPr>
        <w:t>8</w:t>
      </w:r>
      <w:r>
        <w:rPr>
          <w:rFonts w:ascii="宋体" w:hAnsi="宋体" w:eastAsia="宋体"/>
          <w:highlight w:val="none"/>
        </w:rPr>
        <w:t>.</w:t>
      </w:r>
      <w:r>
        <w:rPr>
          <w:rFonts w:hint="eastAsia" w:ascii="宋体" w:hAnsi="宋体" w:eastAsia="宋体"/>
          <w:highlight w:val="none"/>
          <w:lang w:val="en-US" w:eastAsia="zh-CN"/>
        </w:rPr>
        <w:t>6</w:t>
      </w:r>
      <w:r>
        <w:rPr>
          <w:rFonts w:ascii="宋体" w:hAnsi="宋体" w:eastAsia="宋体"/>
          <w:highlight w:val="none"/>
        </w:rPr>
        <w:t xml:space="preserve"> 卖方或买方按照本合同约定或者法律规定解除合同的，本合同自书面解约通知到达对方时立即解除。</w:t>
      </w:r>
    </w:p>
    <w:p>
      <w:pPr>
        <w:pStyle w:val="14"/>
        <w:spacing w:line="460" w:lineRule="exact"/>
        <w:jc w:val="both"/>
        <w:rPr>
          <w:rFonts w:ascii="宋体" w:hAnsi="宋体" w:eastAsia="宋体"/>
          <w:b/>
          <w:bCs/>
          <w:highlight w:val="none"/>
        </w:rPr>
      </w:pPr>
      <w:r>
        <w:rPr>
          <w:rFonts w:hint="eastAsia" w:ascii="宋体" w:hAnsi="宋体" w:eastAsia="宋体"/>
          <w:b/>
          <w:bCs/>
          <w:highlight w:val="none"/>
        </w:rPr>
        <w:t xml:space="preserve">第九条 </w:t>
      </w:r>
      <w:r>
        <w:rPr>
          <w:rFonts w:ascii="宋体" w:hAnsi="宋体" w:eastAsia="宋体"/>
          <w:b/>
          <w:bCs/>
          <w:highlight w:val="none"/>
        </w:rPr>
        <w:t>免责条款</w:t>
      </w:r>
      <w:r>
        <w:rPr>
          <w:rFonts w:hint="eastAsia" w:ascii="宋体" w:hAnsi="宋体" w:eastAsia="宋体"/>
          <w:b/>
          <w:bCs/>
          <w:highlight w:val="none"/>
        </w:rPr>
        <w:t>：</w:t>
      </w:r>
    </w:p>
    <w:p>
      <w:pPr>
        <w:pStyle w:val="14"/>
        <w:spacing w:line="460" w:lineRule="exact"/>
        <w:jc w:val="both"/>
        <w:rPr>
          <w:rFonts w:ascii="宋体" w:hAnsi="宋体" w:eastAsia="宋体"/>
          <w:highlight w:val="none"/>
        </w:rPr>
      </w:pPr>
      <w:r>
        <w:rPr>
          <w:rFonts w:hint="eastAsia" w:ascii="宋体" w:hAnsi="宋体" w:eastAsia="宋体"/>
          <w:highlight w:val="none"/>
        </w:rPr>
        <w:t>9</w:t>
      </w:r>
      <w:r>
        <w:rPr>
          <w:rFonts w:ascii="宋体" w:hAnsi="宋体" w:eastAsia="宋体"/>
          <w:highlight w:val="none"/>
        </w:rPr>
        <w:t>.1 因自然灾害、相关政策变化以及其他不可抗力导致不能履行合同的，遭遇不可抗力的一方可根据不可抗力的影响，部分或者全部免除责任，遭遇不可抗力的一方应在不可抗力事件发生2日内书面通知对方，并提供有权主管机关出具的相应证明文件。</w:t>
      </w:r>
    </w:p>
    <w:p>
      <w:pPr>
        <w:pStyle w:val="14"/>
        <w:spacing w:line="460" w:lineRule="exact"/>
        <w:jc w:val="both"/>
        <w:rPr>
          <w:rFonts w:ascii="宋体" w:hAnsi="宋体" w:eastAsia="宋体"/>
          <w:highlight w:val="none"/>
        </w:rPr>
      </w:pPr>
      <w:r>
        <w:rPr>
          <w:rFonts w:hint="eastAsia" w:ascii="宋体" w:hAnsi="宋体" w:eastAsia="宋体"/>
          <w:highlight w:val="none"/>
        </w:rPr>
        <w:t>9</w:t>
      </w:r>
      <w:r>
        <w:rPr>
          <w:rFonts w:ascii="宋体" w:hAnsi="宋体" w:eastAsia="宋体"/>
          <w:highlight w:val="none"/>
        </w:rPr>
        <w:t>.2 买方充分知晓，卖方订立和履行本合同是基于完成中央事权粮油轮换的政策任务，故国家有关中央事权粮油政策调整致使卖方不能履行合同的，卖方不承担违约责任。但卖方应在国家政策调整后及时以书面形式通知买方。</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第十条 争议解决：</w:t>
      </w:r>
    </w:p>
    <w:p>
      <w:pPr>
        <w:pStyle w:val="14"/>
        <w:spacing w:line="460" w:lineRule="exact"/>
        <w:jc w:val="both"/>
        <w:rPr>
          <w:rFonts w:ascii="宋体" w:hAnsi="宋体" w:eastAsia="宋体"/>
          <w:highlight w:val="none"/>
        </w:rPr>
      </w:pPr>
      <w:r>
        <w:rPr>
          <w:rFonts w:hint="eastAsia" w:ascii="宋体" w:hAnsi="宋体" w:eastAsia="宋体"/>
          <w:highlight w:val="none"/>
        </w:rPr>
        <w:t>10</w:t>
      </w:r>
      <w:r>
        <w:rPr>
          <w:rFonts w:ascii="宋体" w:hAnsi="宋体" w:eastAsia="宋体"/>
          <w:highlight w:val="none"/>
        </w:rPr>
        <w:t xml:space="preserve">.1 </w:t>
      </w:r>
      <w:r>
        <w:rPr>
          <w:rFonts w:hint="eastAsia" w:ascii="宋体" w:hAnsi="宋体" w:eastAsia="宋体"/>
          <w:highlight w:val="none"/>
        </w:rPr>
        <w:t>因履行本合同发生的或与本合同有关的争议，买卖双方应友好协商解决。</w:t>
      </w:r>
    </w:p>
    <w:p>
      <w:pPr>
        <w:pStyle w:val="14"/>
        <w:spacing w:line="460" w:lineRule="exact"/>
        <w:jc w:val="both"/>
        <w:rPr>
          <w:rFonts w:ascii="宋体" w:hAnsi="宋体" w:eastAsia="宋体"/>
          <w:highlight w:val="none"/>
        </w:rPr>
      </w:pPr>
      <w:r>
        <w:rPr>
          <w:rFonts w:hint="eastAsia" w:ascii="宋体" w:hAnsi="宋体" w:eastAsia="宋体"/>
          <w:highlight w:val="none"/>
        </w:rPr>
        <w:t>10.2</w:t>
      </w:r>
      <w:r>
        <w:rPr>
          <w:rFonts w:ascii="宋体" w:hAnsi="宋体" w:eastAsia="宋体"/>
          <w:highlight w:val="none"/>
        </w:rPr>
        <w:t xml:space="preserve"> </w:t>
      </w:r>
      <w:r>
        <w:rPr>
          <w:rFonts w:hint="eastAsia" w:ascii="宋体" w:hAnsi="宋体" w:eastAsia="宋体"/>
          <w:highlight w:val="none"/>
        </w:rPr>
        <w:t>买卖双方不能</w:t>
      </w:r>
      <w:r>
        <w:rPr>
          <w:rFonts w:ascii="宋体" w:hAnsi="宋体" w:eastAsia="宋体"/>
          <w:highlight w:val="none"/>
        </w:rPr>
        <w:t>协商一致继续履</w:t>
      </w:r>
      <w:r>
        <w:rPr>
          <w:rFonts w:hint="eastAsia" w:ascii="宋体" w:hAnsi="宋体" w:eastAsia="宋体"/>
          <w:highlight w:val="none"/>
        </w:rPr>
        <w:t>行合同的，任何一方可在履约期内线上申请粮源地省级交易中心进行调解。</w:t>
      </w:r>
    </w:p>
    <w:p>
      <w:pPr>
        <w:pStyle w:val="14"/>
        <w:spacing w:line="460" w:lineRule="exact"/>
        <w:jc w:val="both"/>
        <w:rPr>
          <w:rFonts w:ascii="宋体" w:hAnsi="宋体" w:eastAsia="宋体"/>
          <w:highlight w:val="none"/>
        </w:rPr>
      </w:pPr>
      <w:r>
        <w:rPr>
          <w:rFonts w:hint="eastAsia" w:ascii="宋体" w:hAnsi="宋体" w:eastAsia="宋体"/>
          <w:highlight w:val="none"/>
        </w:rPr>
        <w:t>10</w:t>
      </w:r>
      <w:r>
        <w:rPr>
          <w:rFonts w:ascii="宋体" w:hAnsi="宋体" w:eastAsia="宋体"/>
          <w:highlight w:val="none"/>
        </w:rPr>
        <w:t>.</w:t>
      </w:r>
      <w:r>
        <w:rPr>
          <w:rFonts w:hint="eastAsia" w:ascii="宋体" w:hAnsi="宋体" w:eastAsia="宋体"/>
          <w:highlight w:val="none"/>
        </w:rPr>
        <w:t>3</w:t>
      </w:r>
      <w:r>
        <w:rPr>
          <w:rFonts w:ascii="宋体" w:hAnsi="宋体" w:eastAsia="宋体"/>
          <w:highlight w:val="none"/>
        </w:rPr>
        <w:t xml:space="preserve"> </w:t>
      </w:r>
      <w:r>
        <w:rPr>
          <w:rFonts w:hint="eastAsia" w:ascii="宋体" w:hAnsi="宋体" w:eastAsia="宋体"/>
          <w:highlight w:val="none"/>
        </w:rPr>
        <w:t>双方当事人协商不成或经粮源地省级交易中心调解不能达成一致的，任何一方均可向合同签订地有管辖权的人民法院提起诉讼。</w:t>
      </w:r>
    </w:p>
    <w:p>
      <w:pPr>
        <w:pStyle w:val="14"/>
        <w:spacing w:line="460" w:lineRule="exact"/>
        <w:jc w:val="both"/>
        <w:rPr>
          <w:rFonts w:ascii="宋体" w:hAnsi="宋体" w:eastAsia="宋体"/>
          <w:b/>
          <w:bCs/>
          <w:highlight w:val="none"/>
        </w:rPr>
      </w:pPr>
      <w:r>
        <w:rPr>
          <w:rFonts w:hint="eastAsia" w:ascii="宋体" w:hAnsi="宋体" w:eastAsia="宋体"/>
          <w:b/>
          <w:bCs/>
          <w:highlight w:val="none"/>
        </w:rPr>
        <w:t>第十一条 合同生效及其他：</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 xml:space="preserve">.1 </w:t>
      </w:r>
      <w:r>
        <w:rPr>
          <w:rFonts w:hint="eastAsia" w:ascii="宋体" w:hAnsi="宋体" w:eastAsia="宋体"/>
          <w:highlight w:val="none"/>
        </w:rPr>
        <w:t>本合同由买卖</w:t>
      </w:r>
      <w:r>
        <w:rPr>
          <w:rFonts w:ascii="宋体" w:hAnsi="宋体" w:eastAsia="宋体"/>
          <w:highlight w:val="none"/>
        </w:rPr>
        <w:t>双方</w:t>
      </w:r>
      <w:r>
        <w:rPr>
          <w:rFonts w:hint="eastAsia" w:ascii="宋体" w:hAnsi="宋体" w:eastAsia="宋体"/>
          <w:highlight w:val="none"/>
        </w:rPr>
        <w:t>根据</w:t>
      </w:r>
      <w:r>
        <w:rPr>
          <w:rFonts w:hint="eastAsia" w:ascii="宋体" w:hAnsi="宋体" w:eastAsia="宋体"/>
          <w:highlight w:val="none"/>
          <w:u w:val="single"/>
          <w:lang w:val="en-US" w:eastAsia="zh-CN"/>
        </w:rPr>
        <w:t xml:space="preserve">   </w:t>
      </w:r>
      <w:r>
        <w:rPr>
          <w:rFonts w:hint="eastAsia" w:ascii="宋体" w:hAnsi="宋体" w:eastAsia="宋体"/>
          <w:highlight w:val="none"/>
        </w:rPr>
        <w:t>年</w:t>
      </w:r>
      <w:r>
        <w:rPr>
          <w:rFonts w:hint="eastAsia" w:ascii="宋体" w:hAnsi="宋体" w:eastAsia="宋体"/>
          <w:highlight w:val="none"/>
          <w:u w:val="single"/>
          <w:lang w:val="en-US" w:eastAsia="zh-CN"/>
        </w:rPr>
        <w:t xml:space="preserve">  </w:t>
      </w:r>
      <w:r>
        <w:rPr>
          <w:rFonts w:hint="eastAsia" w:ascii="宋体" w:hAnsi="宋体" w:eastAsia="宋体"/>
          <w:highlight w:val="none"/>
        </w:rPr>
        <w:t>月</w:t>
      </w:r>
      <w:r>
        <w:rPr>
          <w:rFonts w:hint="eastAsia" w:ascii="宋体" w:hAnsi="宋体" w:eastAsia="宋体"/>
          <w:highlight w:val="none"/>
          <w:u w:val="single"/>
          <w:lang w:val="en-US" w:eastAsia="zh-CN"/>
        </w:rPr>
        <w:t xml:space="preserve">   </w:t>
      </w:r>
      <w:r>
        <w:rPr>
          <w:rFonts w:hint="eastAsia" w:ascii="宋体" w:hAnsi="宋体" w:eastAsia="宋体"/>
          <w:highlight w:val="none"/>
        </w:rPr>
        <w:t>日在</w:t>
      </w:r>
      <w:r>
        <w:rPr>
          <w:rFonts w:hint="eastAsia" w:ascii="宋体" w:hAnsi="宋体" w:eastAsia="宋体"/>
          <w:highlight w:val="none"/>
          <w:lang w:val="en-US" w:eastAsia="zh-CN"/>
        </w:rPr>
        <w:t>国家粮食</w:t>
      </w:r>
      <w:r>
        <w:rPr>
          <w:rFonts w:hint="eastAsia" w:ascii="宋体" w:hAnsi="宋体" w:eastAsia="宋体"/>
          <w:highlight w:val="none"/>
        </w:rPr>
        <w:t>交易中心举行的“进口大豆竞价销售交易会”成交结果签订，自成交之日起生效。</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 xml:space="preserve">.2 </w:t>
      </w:r>
      <w:r>
        <w:rPr>
          <w:rFonts w:hint="eastAsia" w:ascii="宋体" w:hAnsi="宋体" w:eastAsia="宋体"/>
          <w:highlight w:val="none"/>
        </w:rPr>
        <w:t>买卖双方清楚知晓并自愿遵守当期《交易公告》及对应发布的交易清单。本合同有约定的依据本合同履行，本合同未约定或约定不明的，执行当期《交易公告》及对应发布的交易清单的规定或约定。</w:t>
      </w:r>
    </w:p>
    <w:p>
      <w:pPr>
        <w:pStyle w:val="14"/>
        <w:spacing w:line="460" w:lineRule="exact"/>
        <w:jc w:val="both"/>
        <w:rPr>
          <w:rFonts w:ascii="宋体" w:hAnsi="宋体" w:eastAsia="宋体"/>
          <w:highlight w:val="none"/>
        </w:rPr>
      </w:pPr>
      <w:r>
        <w:rPr>
          <w:rFonts w:hint="eastAsia" w:ascii="宋体" w:hAnsi="宋体" w:eastAsia="宋体"/>
          <w:highlight w:val="none"/>
        </w:rPr>
        <w:t>11.3</w:t>
      </w:r>
      <w:r>
        <w:rPr>
          <w:rFonts w:ascii="宋体" w:hAnsi="宋体" w:eastAsia="宋体"/>
          <w:highlight w:val="none"/>
        </w:rPr>
        <w:t xml:space="preserve"> </w:t>
      </w:r>
      <w:r>
        <w:rPr>
          <w:rFonts w:hint="eastAsia" w:ascii="宋体" w:hAnsi="宋体" w:eastAsia="宋体"/>
          <w:highlight w:val="none"/>
        </w:rPr>
        <w:t>买卖双方应自觉遵守《进口储备粮检验检疫监督管理规定》，按照各自职责，做好进口储备粮出库各环节的质量管理和防疫工作，确保出入库和运输过程中全封闭进行，保证产成品流向明确，具有可追溯性，并及时向主管检验检疫机构履行各项报告义务，并取得主管检验检疫机构审核同意，主动接受主管检验检疫机构的监管。</w:t>
      </w:r>
    </w:p>
    <w:p>
      <w:pPr>
        <w:pStyle w:val="14"/>
        <w:spacing w:line="460" w:lineRule="exact"/>
        <w:jc w:val="both"/>
        <w:rPr>
          <w:rFonts w:hint="eastAsia" w:hAnsi="仿宋"/>
          <w:b/>
          <w:sz w:val="28"/>
          <w:szCs w:val="28"/>
          <w:highlight w:val="none"/>
        </w:rPr>
      </w:pPr>
      <w:r>
        <w:rPr>
          <w:rFonts w:hint="eastAsia" w:hAnsi="仿宋"/>
          <w:b/>
          <w:sz w:val="28"/>
          <w:szCs w:val="28"/>
          <w:highlight w:val="none"/>
        </w:rPr>
        <w:t>本合同标的物为转基因产品，买方只能用于加工，不得进行转卖，买方应严格遵守《农业转基因生物安全管理条例》和《农业转基因生物标识管理办法》等有关法律法规规定。</w:t>
      </w:r>
    </w:p>
    <w:p>
      <w:pPr>
        <w:pStyle w:val="14"/>
        <w:spacing w:line="460" w:lineRule="exact"/>
        <w:jc w:val="both"/>
        <w:rPr>
          <w:rFonts w:ascii="宋体" w:hAnsi="宋体" w:eastAsia="宋体"/>
          <w:highlight w:val="none"/>
        </w:rPr>
      </w:pPr>
      <w:r>
        <w:rPr>
          <w:rFonts w:ascii="宋体" w:hAnsi="宋体" w:eastAsia="宋体"/>
          <w:highlight w:val="none"/>
        </w:rPr>
        <w:t>1</w:t>
      </w:r>
      <w:r>
        <w:rPr>
          <w:rFonts w:hint="eastAsia" w:ascii="宋体" w:hAnsi="宋体" w:eastAsia="宋体"/>
          <w:highlight w:val="none"/>
        </w:rPr>
        <w:t>1</w:t>
      </w:r>
      <w:r>
        <w:rPr>
          <w:rFonts w:ascii="宋体" w:hAnsi="宋体" w:eastAsia="宋体"/>
          <w:highlight w:val="none"/>
        </w:rPr>
        <w:t>.</w:t>
      </w:r>
      <w:r>
        <w:rPr>
          <w:rFonts w:hint="eastAsia" w:ascii="宋体" w:hAnsi="宋体" w:eastAsia="宋体"/>
          <w:highlight w:val="none"/>
          <w:lang w:val="en-US" w:eastAsia="zh-CN"/>
        </w:rPr>
        <w:t>4</w:t>
      </w:r>
      <w:r>
        <w:rPr>
          <w:rFonts w:ascii="宋体" w:hAnsi="宋体" w:eastAsia="宋体"/>
          <w:highlight w:val="none"/>
        </w:rPr>
        <w:t xml:space="preserve"> </w:t>
      </w:r>
      <w:r>
        <w:rPr>
          <w:rFonts w:hint="eastAsia" w:ascii="宋体" w:hAnsi="宋体" w:eastAsia="宋体"/>
          <w:highlight w:val="none"/>
        </w:rPr>
        <w:t>本合同一式三份，买卖双方各执一份，粮源地省级交易中心保存一份。买卖双方也可通过国家粮食交易平台网上签订电子交易合同，具有同等法律效力。</w:t>
      </w:r>
    </w:p>
    <w:p>
      <w:pPr>
        <w:pStyle w:val="14"/>
        <w:spacing w:line="460" w:lineRule="exact"/>
        <w:jc w:val="both"/>
        <w:rPr>
          <w:rFonts w:ascii="宋体" w:hAnsi="宋体" w:eastAsia="宋体"/>
          <w:highlight w:val="none"/>
        </w:rPr>
      </w:pPr>
    </w:p>
    <w:p>
      <w:pPr>
        <w:pStyle w:val="14"/>
        <w:spacing w:line="460" w:lineRule="exact"/>
        <w:jc w:val="both"/>
        <w:rPr>
          <w:rFonts w:ascii="宋体" w:hAnsi="宋体" w:eastAsia="宋体"/>
          <w:highlight w:val="none"/>
        </w:rPr>
      </w:pPr>
      <w:r>
        <w:rPr>
          <w:rFonts w:hint="eastAsia" w:ascii="宋体" w:hAnsi="宋体" w:eastAsia="宋体"/>
          <w:highlight w:val="none"/>
        </w:rPr>
        <w:t>卖方：</w:t>
      </w:r>
      <w:r>
        <w:rPr>
          <w:rFonts w:ascii="宋体" w:hAnsi="宋体" w:eastAsia="宋体"/>
          <w:highlight w:val="none"/>
        </w:rPr>
        <w:t xml:space="preserve">         </w:t>
      </w:r>
      <w:r>
        <w:rPr>
          <w:rFonts w:hint="eastAsia" w:ascii="宋体" w:hAnsi="宋体" w:eastAsia="宋体"/>
          <w:highlight w:val="none"/>
        </w:rPr>
        <w:t xml:space="preserve">                     买方：</w:t>
      </w:r>
    </w:p>
    <w:p>
      <w:pPr>
        <w:pStyle w:val="14"/>
        <w:spacing w:line="460" w:lineRule="exact"/>
        <w:jc w:val="both"/>
        <w:rPr>
          <w:rFonts w:ascii="宋体" w:hAnsi="宋体" w:eastAsia="宋体"/>
          <w:highlight w:val="none"/>
        </w:rPr>
      </w:pPr>
    </w:p>
    <w:p>
      <w:pPr>
        <w:pStyle w:val="14"/>
        <w:spacing w:line="460" w:lineRule="exact"/>
        <w:jc w:val="both"/>
        <w:rPr>
          <w:rFonts w:ascii="宋体" w:hAnsi="宋体" w:eastAsia="宋体"/>
          <w:highlight w:val="none"/>
        </w:rPr>
      </w:pPr>
      <w:r>
        <w:rPr>
          <w:rFonts w:hint="eastAsia" w:ascii="宋体" w:hAnsi="宋体" w:eastAsia="宋体"/>
          <w:highlight w:val="none"/>
        </w:rPr>
        <w:t>法定代表人（或授权代表）：          法定代表人（或授权代表）：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060613"/>
    </w:sdtPr>
    <w:sdtContent>
      <w:sdt>
        <w:sdtPr>
          <w:id w:val="1728636285"/>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1C"/>
    <w:rsid w:val="00001A06"/>
    <w:rsid w:val="000214BC"/>
    <w:rsid w:val="00023347"/>
    <w:rsid w:val="00034BC8"/>
    <w:rsid w:val="00034FE4"/>
    <w:rsid w:val="00041D80"/>
    <w:rsid w:val="00053DAA"/>
    <w:rsid w:val="00066E10"/>
    <w:rsid w:val="0007398E"/>
    <w:rsid w:val="0007522C"/>
    <w:rsid w:val="000819AF"/>
    <w:rsid w:val="000A1D74"/>
    <w:rsid w:val="000A2681"/>
    <w:rsid w:val="000A5D82"/>
    <w:rsid w:val="000A7BBB"/>
    <w:rsid w:val="000B3679"/>
    <w:rsid w:val="000B73C4"/>
    <w:rsid w:val="000C10C3"/>
    <w:rsid w:val="000C484D"/>
    <w:rsid w:val="000C4D5F"/>
    <w:rsid w:val="000E17AF"/>
    <w:rsid w:val="000E442E"/>
    <w:rsid w:val="000E4B4F"/>
    <w:rsid w:val="000F1E30"/>
    <w:rsid w:val="000F6FD4"/>
    <w:rsid w:val="001002A1"/>
    <w:rsid w:val="00105675"/>
    <w:rsid w:val="00110B95"/>
    <w:rsid w:val="00112F94"/>
    <w:rsid w:val="00113134"/>
    <w:rsid w:val="0011659A"/>
    <w:rsid w:val="00126D6B"/>
    <w:rsid w:val="00135E38"/>
    <w:rsid w:val="00136615"/>
    <w:rsid w:val="0015563A"/>
    <w:rsid w:val="00162E97"/>
    <w:rsid w:val="001644D5"/>
    <w:rsid w:val="00167DC2"/>
    <w:rsid w:val="00172961"/>
    <w:rsid w:val="00174AED"/>
    <w:rsid w:val="00174B30"/>
    <w:rsid w:val="00182137"/>
    <w:rsid w:val="0018564B"/>
    <w:rsid w:val="00187771"/>
    <w:rsid w:val="00191D9C"/>
    <w:rsid w:val="001962E3"/>
    <w:rsid w:val="0019660B"/>
    <w:rsid w:val="001A2CFC"/>
    <w:rsid w:val="001B5963"/>
    <w:rsid w:val="001D050C"/>
    <w:rsid w:val="001D29D3"/>
    <w:rsid w:val="001D3E02"/>
    <w:rsid w:val="001D5604"/>
    <w:rsid w:val="001D7F71"/>
    <w:rsid w:val="001E6459"/>
    <w:rsid w:val="00200F34"/>
    <w:rsid w:val="00214074"/>
    <w:rsid w:val="002141AE"/>
    <w:rsid w:val="00214F47"/>
    <w:rsid w:val="002167B4"/>
    <w:rsid w:val="002170FF"/>
    <w:rsid w:val="00220958"/>
    <w:rsid w:val="00223A1F"/>
    <w:rsid w:val="00224EAE"/>
    <w:rsid w:val="0022752F"/>
    <w:rsid w:val="00230477"/>
    <w:rsid w:val="0023421F"/>
    <w:rsid w:val="00234978"/>
    <w:rsid w:val="0025172E"/>
    <w:rsid w:val="00252D0C"/>
    <w:rsid w:val="002551A9"/>
    <w:rsid w:val="002564A8"/>
    <w:rsid w:val="00264E37"/>
    <w:rsid w:val="00272001"/>
    <w:rsid w:val="00280737"/>
    <w:rsid w:val="0028661C"/>
    <w:rsid w:val="002875E1"/>
    <w:rsid w:val="0029131B"/>
    <w:rsid w:val="00293ADC"/>
    <w:rsid w:val="002970B0"/>
    <w:rsid w:val="002A4C30"/>
    <w:rsid w:val="002A50FD"/>
    <w:rsid w:val="002B762E"/>
    <w:rsid w:val="002B7925"/>
    <w:rsid w:val="002C08A6"/>
    <w:rsid w:val="002C15B1"/>
    <w:rsid w:val="002C672D"/>
    <w:rsid w:val="002D2AF6"/>
    <w:rsid w:val="002D2C93"/>
    <w:rsid w:val="002D44EA"/>
    <w:rsid w:val="002E560B"/>
    <w:rsid w:val="002F4B0C"/>
    <w:rsid w:val="002F73FF"/>
    <w:rsid w:val="00314044"/>
    <w:rsid w:val="003232A1"/>
    <w:rsid w:val="003316B9"/>
    <w:rsid w:val="00332054"/>
    <w:rsid w:val="00333C53"/>
    <w:rsid w:val="0033547E"/>
    <w:rsid w:val="003443F4"/>
    <w:rsid w:val="003544B0"/>
    <w:rsid w:val="00356282"/>
    <w:rsid w:val="0036237E"/>
    <w:rsid w:val="00364608"/>
    <w:rsid w:val="003650CB"/>
    <w:rsid w:val="00370631"/>
    <w:rsid w:val="0038499C"/>
    <w:rsid w:val="00386F13"/>
    <w:rsid w:val="00390253"/>
    <w:rsid w:val="0039367B"/>
    <w:rsid w:val="0039494D"/>
    <w:rsid w:val="00395EC1"/>
    <w:rsid w:val="0039739C"/>
    <w:rsid w:val="00397571"/>
    <w:rsid w:val="00397E58"/>
    <w:rsid w:val="003A50E2"/>
    <w:rsid w:val="003A64AF"/>
    <w:rsid w:val="003B0C06"/>
    <w:rsid w:val="003B52CB"/>
    <w:rsid w:val="003C40F3"/>
    <w:rsid w:val="003C7740"/>
    <w:rsid w:val="003E35B4"/>
    <w:rsid w:val="003E600A"/>
    <w:rsid w:val="003F593F"/>
    <w:rsid w:val="004040CE"/>
    <w:rsid w:val="00406405"/>
    <w:rsid w:val="00406947"/>
    <w:rsid w:val="0040797E"/>
    <w:rsid w:val="00411999"/>
    <w:rsid w:val="00414FB3"/>
    <w:rsid w:val="00416181"/>
    <w:rsid w:val="004213AB"/>
    <w:rsid w:val="00430221"/>
    <w:rsid w:val="00442E8E"/>
    <w:rsid w:val="00446B40"/>
    <w:rsid w:val="00453CA2"/>
    <w:rsid w:val="004568C4"/>
    <w:rsid w:val="00462865"/>
    <w:rsid w:val="00462B4F"/>
    <w:rsid w:val="004646AD"/>
    <w:rsid w:val="004648F0"/>
    <w:rsid w:val="00466491"/>
    <w:rsid w:val="0046785C"/>
    <w:rsid w:val="00471F78"/>
    <w:rsid w:val="004A6878"/>
    <w:rsid w:val="004A7179"/>
    <w:rsid w:val="004D0ABF"/>
    <w:rsid w:val="004D6A1B"/>
    <w:rsid w:val="004E1156"/>
    <w:rsid w:val="004E1885"/>
    <w:rsid w:val="004E7B8D"/>
    <w:rsid w:val="004F2B25"/>
    <w:rsid w:val="004F3E2B"/>
    <w:rsid w:val="004F3F97"/>
    <w:rsid w:val="004F5FAC"/>
    <w:rsid w:val="00500215"/>
    <w:rsid w:val="005072F9"/>
    <w:rsid w:val="005209C3"/>
    <w:rsid w:val="005230FE"/>
    <w:rsid w:val="0052331F"/>
    <w:rsid w:val="00524AB3"/>
    <w:rsid w:val="005252F6"/>
    <w:rsid w:val="00531B51"/>
    <w:rsid w:val="0053552B"/>
    <w:rsid w:val="0055316F"/>
    <w:rsid w:val="00561036"/>
    <w:rsid w:val="0056246E"/>
    <w:rsid w:val="00570BAF"/>
    <w:rsid w:val="00571434"/>
    <w:rsid w:val="00574106"/>
    <w:rsid w:val="00577F4D"/>
    <w:rsid w:val="005845C2"/>
    <w:rsid w:val="005868EF"/>
    <w:rsid w:val="00592610"/>
    <w:rsid w:val="00592C6A"/>
    <w:rsid w:val="00592CC3"/>
    <w:rsid w:val="00592EEA"/>
    <w:rsid w:val="00593974"/>
    <w:rsid w:val="00594A19"/>
    <w:rsid w:val="005A2E80"/>
    <w:rsid w:val="005B38DA"/>
    <w:rsid w:val="005C7473"/>
    <w:rsid w:val="005E03FF"/>
    <w:rsid w:val="005E4413"/>
    <w:rsid w:val="005E5F2A"/>
    <w:rsid w:val="005F36E3"/>
    <w:rsid w:val="005F4505"/>
    <w:rsid w:val="00600ADE"/>
    <w:rsid w:val="00602E1B"/>
    <w:rsid w:val="00603749"/>
    <w:rsid w:val="00603AB3"/>
    <w:rsid w:val="00621932"/>
    <w:rsid w:val="0063146A"/>
    <w:rsid w:val="00631D03"/>
    <w:rsid w:val="00637556"/>
    <w:rsid w:val="0064334F"/>
    <w:rsid w:val="0065151D"/>
    <w:rsid w:val="00651CAB"/>
    <w:rsid w:val="00666990"/>
    <w:rsid w:val="006716E8"/>
    <w:rsid w:val="006749FF"/>
    <w:rsid w:val="00681D25"/>
    <w:rsid w:val="00683CDF"/>
    <w:rsid w:val="00686113"/>
    <w:rsid w:val="006913CB"/>
    <w:rsid w:val="006A7A57"/>
    <w:rsid w:val="006B1D45"/>
    <w:rsid w:val="006B562E"/>
    <w:rsid w:val="006C274A"/>
    <w:rsid w:val="006C279A"/>
    <w:rsid w:val="006C3644"/>
    <w:rsid w:val="006C4090"/>
    <w:rsid w:val="006C63C4"/>
    <w:rsid w:val="006D23FF"/>
    <w:rsid w:val="006E7205"/>
    <w:rsid w:val="006F62F6"/>
    <w:rsid w:val="007009A9"/>
    <w:rsid w:val="00721A1C"/>
    <w:rsid w:val="007246CD"/>
    <w:rsid w:val="00727151"/>
    <w:rsid w:val="00743DD1"/>
    <w:rsid w:val="0074403A"/>
    <w:rsid w:val="00747CBE"/>
    <w:rsid w:val="007539CF"/>
    <w:rsid w:val="0075632C"/>
    <w:rsid w:val="00762EF2"/>
    <w:rsid w:val="00763EB7"/>
    <w:rsid w:val="00771808"/>
    <w:rsid w:val="0077333A"/>
    <w:rsid w:val="0077475D"/>
    <w:rsid w:val="00775FFF"/>
    <w:rsid w:val="00781787"/>
    <w:rsid w:val="00786083"/>
    <w:rsid w:val="007860F2"/>
    <w:rsid w:val="00791FC4"/>
    <w:rsid w:val="00791FEE"/>
    <w:rsid w:val="00797A30"/>
    <w:rsid w:val="007A0F4B"/>
    <w:rsid w:val="007A3141"/>
    <w:rsid w:val="007A45E3"/>
    <w:rsid w:val="007B10C3"/>
    <w:rsid w:val="007B7A44"/>
    <w:rsid w:val="007C31D3"/>
    <w:rsid w:val="007C6689"/>
    <w:rsid w:val="007F2A1C"/>
    <w:rsid w:val="007F3500"/>
    <w:rsid w:val="00800FE7"/>
    <w:rsid w:val="00804078"/>
    <w:rsid w:val="008159EB"/>
    <w:rsid w:val="00817E39"/>
    <w:rsid w:val="008235BF"/>
    <w:rsid w:val="00824044"/>
    <w:rsid w:val="00834FF6"/>
    <w:rsid w:val="0083560A"/>
    <w:rsid w:val="00842443"/>
    <w:rsid w:val="00845B48"/>
    <w:rsid w:val="00845F13"/>
    <w:rsid w:val="00846F3A"/>
    <w:rsid w:val="00847AE4"/>
    <w:rsid w:val="00847FF3"/>
    <w:rsid w:val="0085635C"/>
    <w:rsid w:val="00863599"/>
    <w:rsid w:val="008744C2"/>
    <w:rsid w:val="0089006A"/>
    <w:rsid w:val="00890EB7"/>
    <w:rsid w:val="00893768"/>
    <w:rsid w:val="00893A6F"/>
    <w:rsid w:val="008A73ED"/>
    <w:rsid w:val="008B6E8E"/>
    <w:rsid w:val="008C7F77"/>
    <w:rsid w:val="008D35D1"/>
    <w:rsid w:val="008D41AD"/>
    <w:rsid w:val="008D4823"/>
    <w:rsid w:val="008D5CC0"/>
    <w:rsid w:val="008E0514"/>
    <w:rsid w:val="008F2330"/>
    <w:rsid w:val="008F29EF"/>
    <w:rsid w:val="008F6290"/>
    <w:rsid w:val="009064E5"/>
    <w:rsid w:val="00915FC2"/>
    <w:rsid w:val="009252A3"/>
    <w:rsid w:val="00926D74"/>
    <w:rsid w:val="00930891"/>
    <w:rsid w:val="00931CCC"/>
    <w:rsid w:val="00940CEF"/>
    <w:rsid w:val="00941DD6"/>
    <w:rsid w:val="00942507"/>
    <w:rsid w:val="00942841"/>
    <w:rsid w:val="00947F58"/>
    <w:rsid w:val="009509FD"/>
    <w:rsid w:val="00950BB2"/>
    <w:rsid w:val="009521C8"/>
    <w:rsid w:val="009527CB"/>
    <w:rsid w:val="00956C9E"/>
    <w:rsid w:val="00957966"/>
    <w:rsid w:val="009729F3"/>
    <w:rsid w:val="009744B5"/>
    <w:rsid w:val="00974BEB"/>
    <w:rsid w:val="00985ABB"/>
    <w:rsid w:val="00987651"/>
    <w:rsid w:val="0098775A"/>
    <w:rsid w:val="00990215"/>
    <w:rsid w:val="00990ED2"/>
    <w:rsid w:val="00991D84"/>
    <w:rsid w:val="00991E1B"/>
    <w:rsid w:val="00991F4E"/>
    <w:rsid w:val="009973B9"/>
    <w:rsid w:val="009A1D6B"/>
    <w:rsid w:val="009A4B48"/>
    <w:rsid w:val="009B7E70"/>
    <w:rsid w:val="009C0FA6"/>
    <w:rsid w:val="009C2337"/>
    <w:rsid w:val="009D3240"/>
    <w:rsid w:val="009E0337"/>
    <w:rsid w:val="009E13A9"/>
    <w:rsid w:val="009E283B"/>
    <w:rsid w:val="009E3FC0"/>
    <w:rsid w:val="009E5A47"/>
    <w:rsid w:val="009F18A5"/>
    <w:rsid w:val="009F2D4C"/>
    <w:rsid w:val="009F3D0C"/>
    <w:rsid w:val="009F3D70"/>
    <w:rsid w:val="00A0092E"/>
    <w:rsid w:val="00A01685"/>
    <w:rsid w:val="00A01A38"/>
    <w:rsid w:val="00A24BC1"/>
    <w:rsid w:val="00A307A6"/>
    <w:rsid w:val="00A36945"/>
    <w:rsid w:val="00A409C3"/>
    <w:rsid w:val="00A470CC"/>
    <w:rsid w:val="00A473A4"/>
    <w:rsid w:val="00A604EB"/>
    <w:rsid w:val="00A639C8"/>
    <w:rsid w:val="00A71F77"/>
    <w:rsid w:val="00A849F7"/>
    <w:rsid w:val="00A87A92"/>
    <w:rsid w:val="00AA04A3"/>
    <w:rsid w:val="00AA6527"/>
    <w:rsid w:val="00AA7226"/>
    <w:rsid w:val="00AB0BB6"/>
    <w:rsid w:val="00AB0C05"/>
    <w:rsid w:val="00AB60B9"/>
    <w:rsid w:val="00AC2A56"/>
    <w:rsid w:val="00AD1606"/>
    <w:rsid w:val="00AD383F"/>
    <w:rsid w:val="00AD4A84"/>
    <w:rsid w:val="00AD79D3"/>
    <w:rsid w:val="00AE6306"/>
    <w:rsid w:val="00AF0B6C"/>
    <w:rsid w:val="00AF7468"/>
    <w:rsid w:val="00B11340"/>
    <w:rsid w:val="00B150EE"/>
    <w:rsid w:val="00B217FA"/>
    <w:rsid w:val="00B30ABB"/>
    <w:rsid w:val="00B322D4"/>
    <w:rsid w:val="00B42ABF"/>
    <w:rsid w:val="00B46A58"/>
    <w:rsid w:val="00B52D63"/>
    <w:rsid w:val="00B57B7F"/>
    <w:rsid w:val="00B61171"/>
    <w:rsid w:val="00B64E9B"/>
    <w:rsid w:val="00B653AA"/>
    <w:rsid w:val="00B66171"/>
    <w:rsid w:val="00B67146"/>
    <w:rsid w:val="00B716DD"/>
    <w:rsid w:val="00B76C26"/>
    <w:rsid w:val="00B8130E"/>
    <w:rsid w:val="00B83C06"/>
    <w:rsid w:val="00B843C3"/>
    <w:rsid w:val="00B926F6"/>
    <w:rsid w:val="00B951EE"/>
    <w:rsid w:val="00B9659B"/>
    <w:rsid w:val="00BA48C3"/>
    <w:rsid w:val="00BB2419"/>
    <w:rsid w:val="00BB32AD"/>
    <w:rsid w:val="00BD256D"/>
    <w:rsid w:val="00BD4EB3"/>
    <w:rsid w:val="00BF2983"/>
    <w:rsid w:val="00C023BB"/>
    <w:rsid w:val="00C030EC"/>
    <w:rsid w:val="00C036F4"/>
    <w:rsid w:val="00C1146B"/>
    <w:rsid w:val="00C12F1B"/>
    <w:rsid w:val="00C1452B"/>
    <w:rsid w:val="00C204A3"/>
    <w:rsid w:val="00C22241"/>
    <w:rsid w:val="00C22AB6"/>
    <w:rsid w:val="00C313F5"/>
    <w:rsid w:val="00C314B2"/>
    <w:rsid w:val="00C50C16"/>
    <w:rsid w:val="00C557A8"/>
    <w:rsid w:val="00C63DDF"/>
    <w:rsid w:val="00C65F36"/>
    <w:rsid w:val="00C765D0"/>
    <w:rsid w:val="00C7666E"/>
    <w:rsid w:val="00C87F16"/>
    <w:rsid w:val="00C90EF1"/>
    <w:rsid w:val="00C946B2"/>
    <w:rsid w:val="00C96BB9"/>
    <w:rsid w:val="00CA066F"/>
    <w:rsid w:val="00CA2F94"/>
    <w:rsid w:val="00CA4C9E"/>
    <w:rsid w:val="00CC2512"/>
    <w:rsid w:val="00CC35A0"/>
    <w:rsid w:val="00CD23BC"/>
    <w:rsid w:val="00CD570B"/>
    <w:rsid w:val="00CD6BB6"/>
    <w:rsid w:val="00CE0DC2"/>
    <w:rsid w:val="00CE5636"/>
    <w:rsid w:val="00D03946"/>
    <w:rsid w:val="00D051E3"/>
    <w:rsid w:val="00D100E6"/>
    <w:rsid w:val="00D10543"/>
    <w:rsid w:val="00D105D1"/>
    <w:rsid w:val="00D10F4D"/>
    <w:rsid w:val="00D1217B"/>
    <w:rsid w:val="00D13973"/>
    <w:rsid w:val="00D14419"/>
    <w:rsid w:val="00D20DA0"/>
    <w:rsid w:val="00D27215"/>
    <w:rsid w:val="00D30E39"/>
    <w:rsid w:val="00D35204"/>
    <w:rsid w:val="00D41FC1"/>
    <w:rsid w:val="00D45952"/>
    <w:rsid w:val="00D501AE"/>
    <w:rsid w:val="00D51C98"/>
    <w:rsid w:val="00D5679B"/>
    <w:rsid w:val="00D5754E"/>
    <w:rsid w:val="00D659A6"/>
    <w:rsid w:val="00D73C5E"/>
    <w:rsid w:val="00D76276"/>
    <w:rsid w:val="00D825DA"/>
    <w:rsid w:val="00D83E81"/>
    <w:rsid w:val="00D86D91"/>
    <w:rsid w:val="00D87816"/>
    <w:rsid w:val="00D93C02"/>
    <w:rsid w:val="00DA31A1"/>
    <w:rsid w:val="00DA4AB9"/>
    <w:rsid w:val="00DA5BBA"/>
    <w:rsid w:val="00DB11F6"/>
    <w:rsid w:val="00DB3B5F"/>
    <w:rsid w:val="00DB7B02"/>
    <w:rsid w:val="00DD062E"/>
    <w:rsid w:val="00DD70D5"/>
    <w:rsid w:val="00DE7616"/>
    <w:rsid w:val="00DE778D"/>
    <w:rsid w:val="00DF157A"/>
    <w:rsid w:val="00DF2FBA"/>
    <w:rsid w:val="00DF4779"/>
    <w:rsid w:val="00E00266"/>
    <w:rsid w:val="00E02C1A"/>
    <w:rsid w:val="00E03F80"/>
    <w:rsid w:val="00E044A0"/>
    <w:rsid w:val="00E060B0"/>
    <w:rsid w:val="00E27E99"/>
    <w:rsid w:val="00E304E2"/>
    <w:rsid w:val="00E41489"/>
    <w:rsid w:val="00E445C0"/>
    <w:rsid w:val="00E462F3"/>
    <w:rsid w:val="00E5150E"/>
    <w:rsid w:val="00E5263B"/>
    <w:rsid w:val="00E57B35"/>
    <w:rsid w:val="00E620CF"/>
    <w:rsid w:val="00E62929"/>
    <w:rsid w:val="00E71374"/>
    <w:rsid w:val="00E7284F"/>
    <w:rsid w:val="00E72947"/>
    <w:rsid w:val="00E7744A"/>
    <w:rsid w:val="00E77824"/>
    <w:rsid w:val="00E80C09"/>
    <w:rsid w:val="00E8252B"/>
    <w:rsid w:val="00E854AE"/>
    <w:rsid w:val="00E9186D"/>
    <w:rsid w:val="00E91935"/>
    <w:rsid w:val="00E94A7B"/>
    <w:rsid w:val="00EA2E54"/>
    <w:rsid w:val="00EB531C"/>
    <w:rsid w:val="00EC4D2A"/>
    <w:rsid w:val="00EC5045"/>
    <w:rsid w:val="00ED1508"/>
    <w:rsid w:val="00ED63B1"/>
    <w:rsid w:val="00ED68D1"/>
    <w:rsid w:val="00EE1296"/>
    <w:rsid w:val="00EF0243"/>
    <w:rsid w:val="00EF3BE8"/>
    <w:rsid w:val="00EF51FD"/>
    <w:rsid w:val="00F06A71"/>
    <w:rsid w:val="00F06A9D"/>
    <w:rsid w:val="00F1484A"/>
    <w:rsid w:val="00F1515A"/>
    <w:rsid w:val="00F1743B"/>
    <w:rsid w:val="00F23770"/>
    <w:rsid w:val="00F27E66"/>
    <w:rsid w:val="00F311E0"/>
    <w:rsid w:val="00F3137A"/>
    <w:rsid w:val="00F4269C"/>
    <w:rsid w:val="00F47876"/>
    <w:rsid w:val="00F51D54"/>
    <w:rsid w:val="00F54CF1"/>
    <w:rsid w:val="00F600D3"/>
    <w:rsid w:val="00F675D4"/>
    <w:rsid w:val="00F72B4E"/>
    <w:rsid w:val="00F74CBC"/>
    <w:rsid w:val="00F812CC"/>
    <w:rsid w:val="00F81B17"/>
    <w:rsid w:val="00F844AC"/>
    <w:rsid w:val="00F92340"/>
    <w:rsid w:val="00F93888"/>
    <w:rsid w:val="00F9450A"/>
    <w:rsid w:val="00F94FBE"/>
    <w:rsid w:val="00F95A7D"/>
    <w:rsid w:val="00F95E09"/>
    <w:rsid w:val="00FA48B1"/>
    <w:rsid w:val="00FA7978"/>
    <w:rsid w:val="00FB26A1"/>
    <w:rsid w:val="00FB2FCA"/>
    <w:rsid w:val="00FB450D"/>
    <w:rsid w:val="00FB5ECF"/>
    <w:rsid w:val="00FC49C1"/>
    <w:rsid w:val="00FC6A14"/>
    <w:rsid w:val="00FE1888"/>
    <w:rsid w:val="00FE2AFA"/>
    <w:rsid w:val="00FF2EF3"/>
    <w:rsid w:val="00FF3A70"/>
    <w:rsid w:val="00FF4C95"/>
    <w:rsid w:val="01233ED5"/>
    <w:rsid w:val="02170532"/>
    <w:rsid w:val="029C1F55"/>
    <w:rsid w:val="055B05C3"/>
    <w:rsid w:val="0DF77EE5"/>
    <w:rsid w:val="10C72BE0"/>
    <w:rsid w:val="10D67944"/>
    <w:rsid w:val="11034570"/>
    <w:rsid w:val="12456D9C"/>
    <w:rsid w:val="14C17289"/>
    <w:rsid w:val="14CB1D0F"/>
    <w:rsid w:val="160E5D2C"/>
    <w:rsid w:val="16C759ED"/>
    <w:rsid w:val="17FA4E51"/>
    <w:rsid w:val="19285C5E"/>
    <w:rsid w:val="1DA74521"/>
    <w:rsid w:val="1E005D5A"/>
    <w:rsid w:val="20EB4E0E"/>
    <w:rsid w:val="22A213F2"/>
    <w:rsid w:val="22EE6B9D"/>
    <w:rsid w:val="2E7B51CF"/>
    <w:rsid w:val="2EE0409D"/>
    <w:rsid w:val="2FCB7F44"/>
    <w:rsid w:val="315B0814"/>
    <w:rsid w:val="324F24C8"/>
    <w:rsid w:val="335204F4"/>
    <w:rsid w:val="374A48CC"/>
    <w:rsid w:val="38FB3B42"/>
    <w:rsid w:val="390D78DD"/>
    <w:rsid w:val="39D364BE"/>
    <w:rsid w:val="3AE25C1F"/>
    <w:rsid w:val="3BCA0B75"/>
    <w:rsid w:val="3FAB45A6"/>
    <w:rsid w:val="4076282F"/>
    <w:rsid w:val="4413301C"/>
    <w:rsid w:val="44931CE2"/>
    <w:rsid w:val="44AB26A0"/>
    <w:rsid w:val="46441DEF"/>
    <w:rsid w:val="469E6D38"/>
    <w:rsid w:val="46AF6341"/>
    <w:rsid w:val="46CC5330"/>
    <w:rsid w:val="47307C88"/>
    <w:rsid w:val="49901EC0"/>
    <w:rsid w:val="4EC82C85"/>
    <w:rsid w:val="4EFB37CA"/>
    <w:rsid w:val="51C662CF"/>
    <w:rsid w:val="536E147A"/>
    <w:rsid w:val="5386699E"/>
    <w:rsid w:val="5426353D"/>
    <w:rsid w:val="55F47291"/>
    <w:rsid w:val="560378AC"/>
    <w:rsid w:val="58D313E5"/>
    <w:rsid w:val="5A6747C0"/>
    <w:rsid w:val="5ADC2D90"/>
    <w:rsid w:val="5CB27B36"/>
    <w:rsid w:val="5CBC4731"/>
    <w:rsid w:val="5DF247AE"/>
    <w:rsid w:val="5EC60210"/>
    <w:rsid w:val="6790799F"/>
    <w:rsid w:val="67F20FFE"/>
    <w:rsid w:val="680C46D2"/>
    <w:rsid w:val="69116D4B"/>
    <w:rsid w:val="6B572C76"/>
    <w:rsid w:val="6E226034"/>
    <w:rsid w:val="6E552000"/>
    <w:rsid w:val="6E875A79"/>
    <w:rsid w:val="70BD4F87"/>
    <w:rsid w:val="727C6DB3"/>
    <w:rsid w:val="72833826"/>
    <w:rsid w:val="739F2791"/>
    <w:rsid w:val="73D044FB"/>
    <w:rsid w:val="790C7B25"/>
    <w:rsid w:val="7D5E73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5">
    <w:name w:val="批注框文本 Char"/>
    <w:basedOn w:val="9"/>
    <w:link w:val="3"/>
    <w:semiHidden/>
    <w:qFormat/>
    <w:uiPriority w:val="99"/>
    <w:rPr>
      <w:sz w:val="18"/>
      <w:szCs w:val="18"/>
    </w:rPr>
  </w:style>
  <w:style w:type="paragraph" w:customStyle="1" w:styleId="1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Char"/>
    <w:basedOn w:val="9"/>
    <w:link w:val="2"/>
    <w:semiHidden/>
    <w:qFormat/>
    <w:uiPriority w:val="99"/>
  </w:style>
  <w:style w:type="character" w:customStyle="1" w:styleId="19">
    <w:name w:val="批注主题 Char"/>
    <w:basedOn w:val="18"/>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525</Words>
  <Characters>2993</Characters>
  <Lines>24</Lines>
  <Paragraphs>7</Paragraphs>
  <TotalTime>4</TotalTime>
  <ScaleCrop>false</ScaleCrop>
  <LinksUpToDate>false</LinksUpToDate>
  <CharactersWithSpaces>3511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2020-10-29T02:38:00Z</dcterms:created>
  <dc:creator>高通</dc:creator>
  <cp:lastModifiedBy>李建可/zcl</cp:lastModifiedBy>
  <cp:lastPrinted>2023-05-26T07:27:00Z</cp:lastPrinted>
  <dcterms:modified xsi:type="dcterms:W3CDTF">2024-07-01T23:41:05Z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6C3CBDD37F5F4C728FFA5B3EBA1EE22C</vt:lpwstr>
  </property>
</Properties>
</file>