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国家粮食海南交易中心</w:t>
      </w:r>
    </w:p>
    <w:p>
      <w:pPr>
        <w:autoSpaceDE w:val="0"/>
        <w:autoSpaceDN w:val="0"/>
        <w:adjustRightInd w:val="0"/>
        <w:spacing w:line="50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粮油竞价销售交易合同</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买方</w:t>
      </w:r>
      <w:r>
        <w:rPr>
          <w:rFonts w:hint="eastAsia" w:ascii="仿宋" w:hAnsi="仿宋" w:eastAsia="仿宋" w:cs="仿宋"/>
          <w:kern w:val="0"/>
          <w:sz w:val="24"/>
          <w:szCs w:val="24"/>
          <w:lang w:eastAsia="zh-CN"/>
        </w:rPr>
        <w:t>全称</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合同编号：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卖方</w:t>
      </w:r>
      <w:r>
        <w:rPr>
          <w:rFonts w:hint="eastAsia" w:ascii="仿宋" w:hAnsi="仿宋" w:eastAsia="仿宋" w:cs="仿宋"/>
          <w:kern w:val="0"/>
          <w:sz w:val="24"/>
          <w:szCs w:val="24"/>
          <w:lang w:eastAsia="zh-CN"/>
        </w:rPr>
        <w:t>全称</w:t>
      </w:r>
      <w:r>
        <w:rPr>
          <w:rFonts w:hint="eastAsia" w:ascii="仿宋" w:hAnsi="仿宋" w:eastAsia="仿宋" w:cs="仿宋"/>
          <w:kern w:val="0"/>
          <w:sz w:val="24"/>
          <w:szCs w:val="24"/>
        </w:rPr>
        <w:t xml:space="preserve">：             </w:t>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签订地点：</w:t>
      </w:r>
      <w:r>
        <w:rPr>
          <w:rFonts w:hint="eastAsia" w:ascii="仿宋" w:hAnsi="仿宋" w:eastAsia="仿宋" w:cs="仿宋"/>
          <w:color w:val="000000" w:themeColor="text1"/>
          <w:kern w:val="0"/>
          <w:sz w:val="24"/>
          <w:szCs w:val="24"/>
          <w:lang w:eastAsia="zh-CN"/>
        </w:rPr>
        <w:t>海南省海口市</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成交标的（见</w:t>
      </w:r>
      <w:r>
        <w:rPr>
          <w:rFonts w:hint="eastAsia" w:ascii="仿宋" w:hAnsi="仿宋" w:eastAsia="仿宋" w:cs="仿宋"/>
          <w:kern w:val="0"/>
          <w:sz w:val="24"/>
          <w:szCs w:val="24"/>
          <w:lang w:eastAsia="zh-CN"/>
        </w:rPr>
        <w:t>交易标的</w:t>
      </w:r>
      <w:r>
        <w:rPr>
          <w:rFonts w:hint="eastAsia" w:ascii="仿宋" w:hAnsi="仿宋" w:eastAsia="仿宋" w:cs="仿宋"/>
          <w:kern w:val="0"/>
          <w:sz w:val="24"/>
          <w:szCs w:val="24"/>
        </w:rPr>
        <w:t xml:space="preserve">表）                     </w:t>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单位：元、吨</w:t>
      </w:r>
    </w:p>
    <w:tbl>
      <w:tblPr>
        <w:tblStyle w:val="6"/>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7"/>
        <w:gridCol w:w="2616"/>
        <w:gridCol w:w="817"/>
        <w:gridCol w:w="313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标的号</w:t>
            </w:r>
          </w:p>
        </w:tc>
        <w:tc>
          <w:tcPr>
            <w:tcW w:w="2616"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sz w:val="24"/>
                <w:szCs w:val="24"/>
              </w:rPr>
            </w:pP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品种</w:t>
            </w:r>
          </w:p>
        </w:tc>
        <w:tc>
          <w:tcPr>
            <w:tcW w:w="2616" w:type="dxa"/>
          </w:tcPr>
          <w:p>
            <w:pPr>
              <w:pStyle w:val="2"/>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auto"/>
                <w:sz w:val="24"/>
                <w:szCs w:val="24"/>
                <w:lang w:val="en-US" w:eastAsia="zh-CN"/>
              </w:rPr>
            </w:pPr>
            <w:bookmarkStart w:id="2" w:name="_GoBack"/>
            <w:bookmarkEnd w:id="2"/>
            <w:r>
              <w:rPr>
                <w:rFonts w:hint="eastAsia" w:ascii="仿宋" w:hAnsi="仿宋" w:eastAsia="仿宋" w:cs="仿宋"/>
                <w:color w:val="auto"/>
                <w:sz w:val="24"/>
                <w:szCs w:val="24"/>
                <w:lang w:val="en-US" w:eastAsia="zh-CN"/>
              </w:rPr>
              <w:t>玉米</w:t>
            </w: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生产</w:t>
            </w:r>
            <w:r>
              <w:rPr>
                <w:rFonts w:hint="eastAsia" w:ascii="仿宋" w:hAnsi="仿宋" w:eastAsia="仿宋" w:cs="仿宋"/>
                <w:b/>
                <w:bCs/>
                <w:color w:val="auto"/>
                <w:sz w:val="24"/>
                <w:szCs w:val="24"/>
              </w:rPr>
              <w:t>年度</w:t>
            </w:r>
          </w:p>
        </w:tc>
        <w:tc>
          <w:tcPr>
            <w:tcW w:w="2616" w:type="dxa"/>
          </w:tcPr>
          <w:p>
            <w:pPr>
              <w:pStyle w:val="2"/>
              <w:keepNext w:val="0"/>
              <w:keepLines w:val="0"/>
              <w:pageBreakBefore w:val="0"/>
              <w:widowControl w:val="0"/>
              <w:kinsoku/>
              <w:wordWrap/>
              <w:overflowPunct/>
              <w:topLinePunct w:val="0"/>
              <w:bidi w:val="0"/>
              <w:snapToGrid/>
              <w:spacing w:line="400" w:lineRule="exact"/>
              <w:ind w:firstLine="1080" w:firstLineChars="450"/>
              <w:textAlignment w:val="auto"/>
              <w:rPr>
                <w:rFonts w:hint="default" w:ascii="仿宋" w:hAnsi="仿宋" w:eastAsia="仿宋" w:cs="仿宋"/>
                <w:color w:val="auto"/>
                <w:sz w:val="24"/>
                <w:szCs w:val="24"/>
                <w:lang w:val="en-US" w:eastAsia="zh-CN"/>
              </w:rPr>
            </w:pP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等级</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144"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产地</w:t>
            </w:r>
          </w:p>
        </w:tc>
        <w:tc>
          <w:tcPr>
            <w:tcW w:w="2623" w:type="dxa"/>
            <w:gridSpan w:val="2"/>
          </w:tcPr>
          <w:p>
            <w:pPr>
              <w:pStyle w:val="2"/>
              <w:keepNext w:val="0"/>
              <w:keepLines w:val="0"/>
              <w:pageBreakBefore w:val="0"/>
              <w:widowControl w:val="0"/>
              <w:kinsoku/>
              <w:wordWrap/>
              <w:overflowPunct/>
              <w:topLinePunct w:val="0"/>
              <w:bidi w:val="0"/>
              <w:snapToGrid/>
              <w:spacing w:line="400" w:lineRule="exact"/>
              <w:ind w:firstLine="960" w:firstLineChars="400"/>
              <w:textAlignment w:val="auto"/>
              <w:rPr>
                <w:rFonts w:hint="eastAsia" w:ascii="仿宋" w:hAnsi="仿宋" w:eastAsia="仿宋" w:cs="仿宋"/>
                <w:color w:val="auto"/>
                <w:sz w:val="24"/>
                <w:szCs w:val="24"/>
              </w:rPr>
            </w:pP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p>
        </w:tc>
        <w:tc>
          <w:tcPr>
            <w:tcW w:w="3130" w:type="dxa"/>
          </w:tcPr>
          <w:p>
            <w:pPr>
              <w:pStyle w:val="2"/>
              <w:keepNext w:val="0"/>
              <w:keepLines w:val="0"/>
              <w:pageBreakBefore w:val="0"/>
              <w:widowControl w:val="0"/>
              <w:kinsoku/>
              <w:wordWrap/>
              <w:overflowPunct/>
              <w:topLinePunct w:val="0"/>
              <w:bidi w:val="0"/>
              <w:snapToGrid/>
              <w:spacing w:line="400" w:lineRule="exact"/>
              <w:ind w:firstLine="1200" w:firstLineChars="5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总金额</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总金额</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大写</w:t>
            </w:r>
            <w:r>
              <w:rPr>
                <w:rFonts w:hint="eastAsia" w:ascii="仿宋" w:hAnsi="仿宋" w:eastAsia="仿宋" w:cs="仿宋"/>
                <w:b/>
                <w:bCs/>
                <w:sz w:val="24"/>
                <w:szCs w:val="24"/>
                <w:lang w:eastAsia="zh-CN"/>
              </w:rPr>
              <w:t>）</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存放地点</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304"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交货方式</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仓库堆边交货，按正常工作时间出仓。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交货期限</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仿宋" w:hAnsi="仿宋" w:eastAsia="仿宋" w:cs="仿宋"/>
                <w:color w:val="auto"/>
                <w:sz w:val="24"/>
                <w:szCs w:val="24"/>
              </w:rPr>
            </w:pP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kern w:val="0"/>
          <w:sz w:val="24"/>
          <w:szCs w:val="24"/>
        </w:rPr>
        <w:t>标的质量标准：交易标的质量、产地以储粮库点仓库查看大样为准，有意向参与竞价交易的买方须</w:t>
      </w:r>
      <w:r>
        <w:rPr>
          <w:rFonts w:hint="eastAsia" w:ascii="仿宋" w:hAnsi="仿宋" w:eastAsia="仿宋" w:cs="仿宋"/>
          <w:color w:val="000000" w:themeColor="text1"/>
          <w:kern w:val="0"/>
          <w:sz w:val="24"/>
          <w:szCs w:val="24"/>
        </w:rPr>
        <w:t>在交易前提前到储粮库点实地查看</w:t>
      </w:r>
      <w:r>
        <w:rPr>
          <w:rFonts w:hint="eastAsia" w:ascii="仿宋" w:hAnsi="仿宋" w:eastAsia="仿宋" w:cs="仿宋"/>
          <w:color w:val="auto"/>
          <w:kern w:val="0"/>
          <w:sz w:val="24"/>
          <w:szCs w:val="24"/>
        </w:rPr>
        <w:t>玉米实物质量，如未提前看样或看样后参与竞价交易的买方，均视同认可标的质量，成交后买方不得对交易标的质量、产地提出异议。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约定：成交标的玉米出仓时，</w:t>
      </w:r>
      <w:r>
        <w:rPr>
          <w:rFonts w:hint="eastAsia" w:ascii="仿宋" w:hAnsi="仿宋" w:eastAsia="仿宋" w:cs="仿宋"/>
          <w:color w:val="auto"/>
          <w:kern w:val="0"/>
          <w:sz w:val="24"/>
        </w:rPr>
        <w:t>以卖方提供由海南省粮油产品质量监督检验站出具的该标的《</w:t>
      </w:r>
      <w:r>
        <w:rPr>
          <w:rFonts w:hint="eastAsia" w:ascii="仿宋" w:hAnsi="仿宋" w:eastAsia="仿宋" w:cs="仿宋"/>
          <w:color w:val="auto"/>
          <w:kern w:val="0"/>
          <w:sz w:val="24"/>
          <w:lang w:val="en-US" w:eastAsia="zh-CN"/>
        </w:rPr>
        <w:t>关于报告玉米检验结果的函</w:t>
      </w:r>
      <w:r>
        <w:rPr>
          <w:rFonts w:hint="eastAsia" w:ascii="仿宋" w:hAnsi="仿宋" w:eastAsia="仿宋" w:cs="仿宋"/>
          <w:color w:val="auto"/>
          <w:kern w:val="0"/>
          <w:sz w:val="24"/>
        </w:rPr>
        <w:t>》作为水分、杂质增扣量认定依据</w:t>
      </w:r>
      <w:r>
        <w:rPr>
          <w:rFonts w:hint="eastAsia" w:ascii="仿宋" w:hAnsi="仿宋" w:eastAsia="仿宋" w:cs="仿宋"/>
          <w:color w:val="auto"/>
          <w:kern w:val="0"/>
          <w:sz w:val="24"/>
          <w:szCs w:val="24"/>
        </w:rPr>
        <w:t>，以国标规定的标准水分、杂质为标准，玉米出仓水分、杂质增扣量及应出仓标准数量的计算办法按照国家发展和改革委员会、国家粮食局、财政部、国家质量监督检验检疫总局《关于执行粮油质量国家标准有关问题的规定》（国粮发〔2010〕178号）第4.2.1、4.2.2等款规定执行，玉米水分、杂质增扣量由买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四、货款结算：交易标的成交后，按照先款后货的原则，</w:t>
      </w:r>
      <w:r>
        <w:rPr>
          <w:rFonts w:hint="eastAsia" w:ascii="仿宋" w:hAnsi="仿宋" w:eastAsia="仿宋" w:cs="仿宋"/>
          <w:color w:val="auto"/>
          <w:kern w:val="0"/>
          <w:sz w:val="24"/>
          <w:szCs w:val="24"/>
          <w:lang w:eastAsia="zh-CN"/>
        </w:rPr>
        <w:t>买方必须在本合同约定的交货期限届满</w:t>
      </w:r>
      <w:r>
        <w:rPr>
          <w:rFonts w:hint="eastAsia" w:ascii="仿宋" w:hAnsi="仿宋" w:eastAsia="仿宋" w:cs="仿宋"/>
          <w:color w:val="auto"/>
          <w:kern w:val="0"/>
          <w:sz w:val="24"/>
          <w:szCs w:val="24"/>
          <w:lang w:val="en-US" w:eastAsia="zh-CN"/>
        </w:rPr>
        <w:t>10日前</w:t>
      </w:r>
      <w:r>
        <w:rPr>
          <w:rFonts w:hint="eastAsia" w:ascii="仿宋" w:hAnsi="仿宋" w:eastAsia="仿宋" w:cs="仿宋"/>
          <w:color w:val="000000" w:themeColor="text1"/>
          <w:kern w:val="0"/>
          <w:sz w:val="24"/>
          <w:szCs w:val="24"/>
          <w:lang w:val="en-US" w:eastAsia="zh-CN"/>
        </w:rPr>
        <w:t>将成交标的全额货款一次或分批</w:t>
      </w:r>
      <w:r>
        <w:rPr>
          <w:rFonts w:hint="eastAsia" w:ascii="仿宋" w:hAnsi="仿宋" w:eastAsia="仿宋" w:cs="仿宋"/>
          <w:color w:val="auto"/>
          <w:kern w:val="0"/>
          <w:sz w:val="24"/>
          <w:szCs w:val="24"/>
        </w:rPr>
        <w:t>汇入海南粮油批发市场有限公司（国家粮食海南交易中心）指定的农发行帐户，详见《交易公告》。交易中心确认货款到账后，须根据买方提出的交割申请，在2个工作日内，按货款折算的玉米数量,向买方开具《出库通知单》，并于当日告知买方，同时将向买方开具《出库通知单》的情况通知卖方安排库点发货。买卖双方通过电子签章CA认证的，由买方在交易系统自行填写电子《出库通知单》，交易中心在2个工作日内完成确认，并通知卖方和买方。买方须凭交易合同、《出库通知单》或卖方出库证明及经办人有效证件到承储库办理提货手续，承储库核实无误后应予以配合。买卖双方以成交标的整仓清堆实际出仓数量为依据，按本合同第三条</w:t>
      </w: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约定，以卖方成交标的玉米</w:t>
      </w:r>
      <w:r>
        <w:rPr>
          <w:rFonts w:hint="eastAsia" w:ascii="仿宋" w:hAnsi="仿宋" w:eastAsia="仿宋" w:cs="仿宋"/>
          <w:color w:val="auto"/>
          <w:kern w:val="0"/>
          <w:sz w:val="24"/>
          <w:szCs w:val="24"/>
          <w:lang w:eastAsia="zh-CN"/>
        </w:rPr>
        <w:t>进行</w:t>
      </w:r>
      <w:r>
        <w:rPr>
          <w:rFonts w:hint="eastAsia" w:ascii="仿宋" w:hAnsi="仿宋" w:eastAsia="仿宋" w:cs="仿宋"/>
          <w:color w:val="auto"/>
          <w:kern w:val="0"/>
          <w:sz w:val="24"/>
          <w:szCs w:val="24"/>
        </w:rPr>
        <w:t>水分、杂质</w:t>
      </w: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后的实际应出仓数量为标准</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如整仓清堆出仓数量小于卖方标的实际应出仓数量，则不足部分由卖方按合同价与买方办理结算退款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如整仓清堆出仓数量</w:t>
      </w:r>
      <w:r>
        <w:rPr>
          <w:rFonts w:hint="eastAsia" w:ascii="仿宋" w:hAnsi="仿宋" w:eastAsia="仿宋" w:cs="仿宋"/>
          <w:color w:val="auto"/>
          <w:kern w:val="0"/>
          <w:sz w:val="24"/>
          <w:szCs w:val="24"/>
          <w:lang w:eastAsia="zh-CN"/>
        </w:rPr>
        <w:t>大</w:t>
      </w:r>
      <w:r>
        <w:rPr>
          <w:rFonts w:hint="eastAsia" w:ascii="仿宋" w:hAnsi="仿宋" w:eastAsia="仿宋" w:cs="仿宋"/>
          <w:color w:val="auto"/>
          <w:kern w:val="0"/>
          <w:sz w:val="24"/>
          <w:szCs w:val="24"/>
        </w:rPr>
        <w:t>于卖方标的实际应出仓数量，则</w:t>
      </w:r>
      <w:r>
        <w:rPr>
          <w:rFonts w:hint="eastAsia" w:ascii="仿宋" w:hAnsi="仿宋" w:eastAsia="仿宋" w:cs="仿宋"/>
          <w:color w:val="auto"/>
          <w:kern w:val="0"/>
          <w:sz w:val="24"/>
          <w:szCs w:val="24"/>
          <w:lang w:eastAsia="zh-CN"/>
        </w:rPr>
        <w:t>超出</w:t>
      </w:r>
      <w:r>
        <w:rPr>
          <w:rFonts w:hint="eastAsia" w:ascii="仿宋" w:hAnsi="仿宋" w:eastAsia="仿宋" w:cs="仿宋"/>
          <w:color w:val="auto"/>
          <w:kern w:val="0"/>
          <w:sz w:val="24"/>
          <w:szCs w:val="24"/>
        </w:rPr>
        <w:t>部分由</w:t>
      </w:r>
      <w:r>
        <w:rPr>
          <w:rFonts w:hint="eastAsia" w:ascii="仿宋" w:hAnsi="仿宋" w:eastAsia="仿宋" w:cs="仿宋"/>
          <w:color w:val="auto"/>
          <w:kern w:val="0"/>
          <w:sz w:val="24"/>
          <w:szCs w:val="24"/>
          <w:lang w:eastAsia="zh-CN"/>
        </w:rPr>
        <w:t>买</w:t>
      </w:r>
      <w:r>
        <w:rPr>
          <w:rFonts w:hint="eastAsia" w:ascii="仿宋" w:hAnsi="仿宋" w:eastAsia="仿宋" w:cs="仿宋"/>
          <w:color w:val="auto"/>
          <w:kern w:val="0"/>
          <w:sz w:val="24"/>
          <w:szCs w:val="24"/>
        </w:rPr>
        <w:t>方按合同价</w:t>
      </w:r>
      <w:r>
        <w:rPr>
          <w:rFonts w:hint="eastAsia" w:ascii="仿宋" w:hAnsi="仿宋" w:eastAsia="仿宋" w:cs="仿宋"/>
          <w:color w:val="auto"/>
          <w:kern w:val="0"/>
          <w:sz w:val="24"/>
          <w:szCs w:val="24"/>
          <w:lang w:eastAsia="zh-CN"/>
        </w:rPr>
        <w:t>向卖</w:t>
      </w:r>
      <w:r>
        <w:rPr>
          <w:rFonts w:hint="eastAsia" w:ascii="仿宋" w:hAnsi="仿宋" w:eastAsia="仿宋" w:cs="仿宋"/>
          <w:color w:val="auto"/>
          <w:kern w:val="0"/>
          <w:sz w:val="24"/>
          <w:szCs w:val="24"/>
        </w:rPr>
        <w:t>方办理</w:t>
      </w:r>
      <w:r>
        <w:rPr>
          <w:rFonts w:hint="eastAsia" w:ascii="仿宋" w:hAnsi="仿宋" w:eastAsia="仿宋" w:cs="仿宋"/>
          <w:color w:val="auto"/>
          <w:kern w:val="0"/>
          <w:sz w:val="24"/>
          <w:szCs w:val="24"/>
          <w:lang w:eastAsia="zh-CN"/>
        </w:rPr>
        <w:t>补交货款</w:t>
      </w:r>
      <w:r>
        <w:rPr>
          <w:rFonts w:hint="eastAsia" w:ascii="仿宋" w:hAnsi="仿宋" w:eastAsia="仿宋" w:cs="仿宋"/>
          <w:color w:val="auto"/>
          <w:kern w:val="0"/>
          <w:sz w:val="24"/>
          <w:szCs w:val="24"/>
        </w:rPr>
        <w:t>结算。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五、结算凭证：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1、卖方提供本单位开具的增值税发票；买方如需增值税专用发票，须提供一般纳税人证明。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2、买卖双方按交易规则向国家粮食海南交易中心提交相关资料申请办理清退保证金。</w:t>
      </w:r>
    </w:p>
    <w:p>
      <w:pPr>
        <w:autoSpaceDE w:val="0"/>
        <w:autoSpaceDN w:val="0"/>
        <w:adjustRightIn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3、卖方出库完毕后凭买卖双方签署的《验收确认单》向国家粮食海南交易中心申请办理成交标的货款结算。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六、验收方式：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1、标的质量按本合同第二条约定为准</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2、按本合同第三条约定扣除水分、杂质损耗后，出库数量以</w:t>
      </w:r>
      <w:r>
        <w:rPr>
          <w:rFonts w:hint="eastAsia" w:ascii="仿宋" w:hAnsi="仿宋" w:eastAsia="仿宋" w:cs="仿宋"/>
          <w:kern w:val="0"/>
          <w:sz w:val="24"/>
          <w:szCs w:val="24"/>
          <w:lang w:val="en-US" w:eastAsia="zh-CN"/>
        </w:rPr>
        <w:t>卖方承储库点</w:t>
      </w:r>
      <w:r>
        <w:rPr>
          <w:rFonts w:hint="eastAsia" w:ascii="仿宋" w:hAnsi="仿宋" w:eastAsia="仿宋" w:cs="仿宋"/>
          <w:kern w:val="0"/>
          <w:sz w:val="24"/>
          <w:szCs w:val="24"/>
        </w:rPr>
        <w:t>经技术监督部门检验合格的计量工具验斤为准</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auto"/>
          <w:kern w:val="0"/>
          <w:sz w:val="24"/>
          <w:szCs w:val="24"/>
        </w:rPr>
        <w:t>成交标的玉米整仓清堆出仓完毕后，买卖双方签署《验收确认单》进行实物交割确认。</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七、费用承担：</w:t>
      </w:r>
      <w:r>
        <w:rPr>
          <w:rFonts w:hint="eastAsia" w:ascii="仿宋" w:hAnsi="仿宋" w:eastAsia="仿宋" w:cs="仿宋"/>
          <w:bCs/>
          <w:color w:val="auto"/>
          <w:kern w:val="0"/>
          <w:sz w:val="24"/>
          <w:szCs w:val="24"/>
        </w:rPr>
        <w:t>买方按合同总金额的0.5%向国家粮食海南交易中心</w:t>
      </w:r>
      <w:r>
        <w:rPr>
          <w:rFonts w:hint="eastAsia" w:ascii="仿宋" w:hAnsi="仿宋" w:eastAsia="仿宋" w:cs="仿宋"/>
          <w:bCs/>
          <w:color w:val="auto"/>
          <w:kern w:val="0"/>
          <w:sz w:val="24"/>
          <w:szCs w:val="24"/>
          <w:lang w:eastAsia="zh-CN"/>
        </w:rPr>
        <w:t>缴</w:t>
      </w:r>
      <w:r>
        <w:rPr>
          <w:rFonts w:hint="eastAsia" w:ascii="仿宋" w:hAnsi="仿宋" w:eastAsia="仿宋" w:cs="仿宋"/>
          <w:bCs/>
          <w:color w:val="auto"/>
          <w:kern w:val="0"/>
          <w:sz w:val="24"/>
          <w:szCs w:val="24"/>
        </w:rPr>
        <w:t>纳交易手续费</w:t>
      </w:r>
      <w:r>
        <w:rPr>
          <w:rFonts w:hint="eastAsia" w:ascii="仿宋" w:hAnsi="仿宋" w:eastAsia="仿宋" w:cs="仿宋"/>
          <w:bCs/>
          <w:color w:val="auto"/>
          <w:kern w:val="0"/>
          <w:sz w:val="24"/>
          <w:szCs w:val="24"/>
          <w:lang w:eastAsia="zh-CN"/>
        </w:rPr>
        <w:t>，</w:t>
      </w:r>
      <w:r>
        <w:rPr>
          <w:rFonts w:hint="eastAsia" w:ascii="仿宋" w:hAnsi="仿宋" w:eastAsia="仿宋" w:cs="仿宋"/>
          <w:strike w:val="0"/>
          <w:dstrike w:val="0"/>
          <w:color w:val="auto"/>
          <w:kern w:val="0"/>
          <w:sz w:val="24"/>
          <w:szCs w:val="24"/>
          <w:lang w:eastAsia="zh-CN"/>
        </w:rPr>
        <w:t>玉米</w:t>
      </w:r>
      <w:r>
        <w:rPr>
          <w:rFonts w:hint="eastAsia" w:ascii="仿宋" w:hAnsi="仿宋" w:eastAsia="仿宋" w:cs="仿宋"/>
          <w:color w:val="auto"/>
          <w:kern w:val="0"/>
          <w:sz w:val="24"/>
          <w:szCs w:val="24"/>
        </w:rPr>
        <w:t>出库费</w:t>
      </w:r>
      <w:r>
        <w:rPr>
          <w:rFonts w:hint="eastAsia" w:ascii="仿宋" w:hAnsi="仿宋" w:eastAsia="仿宋" w:cs="仿宋"/>
          <w:color w:val="auto"/>
          <w:kern w:val="0"/>
          <w:sz w:val="24"/>
          <w:szCs w:val="24"/>
          <w:lang w:val="en-US" w:eastAsia="zh-CN"/>
        </w:rPr>
        <w:t>按</w:t>
      </w:r>
      <w:r>
        <w:rPr>
          <w:rFonts w:hint="eastAsia" w:ascii="仿宋" w:hAnsi="仿宋" w:eastAsia="仿宋" w:cs="仿宋"/>
          <w:color w:val="auto"/>
          <w:kern w:val="0"/>
          <w:sz w:val="24"/>
          <w:szCs w:val="24"/>
        </w:rPr>
        <w:t>30元/吨</w:t>
      </w:r>
      <w:r>
        <w:rPr>
          <w:rFonts w:hint="eastAsia" w:ascii="仿宋" w:hAnsi="仿宋" w:eastAsia="仿宋" w:cs="仿宋"/>
          <w:color w:val="auto"/>
          <w:kern w:val="0"/>
          <w:sz w:val="24"/>
          <w:szCs w:val="24"/>
          <w:lang w:eastAsia="zh-CN"/>
        </w:rPr>
        <w:t>计</w:t>
      </w:r>
      <w:r>
        <w:rPr>
          <w:rFonts w:hint="eastAsia" w:ascii="仿宋" w:hAnsi="仿宋" w:eastAsia="仿宋" w:cs="仿宋"/>
          <w:color w:val="auto"/>
          <w:kern w:val="0"/>
          <w:sz w:val="24"/>
          <w:szCs w:val="24"/>
        </w:rPr>
        <w:t>由买方承担</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除此费用外，不另外收取相关费用。买方须在出库前将本合同成交标的数量的出库费全部支付给卖方承储库点，并由买方与</w:t>
      </w:r>
      <w:r>
        <w:rPr>
          <w:rFonts w:hint="eastAsia" w:ascii="仿宋" w:hAnsi="仿宋" w:eastAsia="仿宋" w:cs="仿宋"/>
          <w:color w:val="auto"/>
          <w:kern w:val="0"/>
          <w:sz w:val="24"/>
          <w:szCs w:val="24"/>
          <w:lang w:eastAsia="zh-CN"/>
        </w:rPr>
        <w:t>卖方</w:t>
      </w:r>
      <w:r>
        <w:rPr>
          <w:rFonts w:hint="eastAsia" w:ascii="仿宋" w:hAnsi="仿宋" w:eastAsia="仿宋" w:cs="仿宋"/>
          <w:color w:val="auto"/>
          <w:kern w:val="0"/>
          <w:sz w:val="24"/>
          <w:szCs w:val="24"/>
        </w:rPr>
        <w:t>承储库结算，承储库须开具相应金额的出库费发票给买方。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八、违约责任：除政府动用和不可抗力因素免除承担的责任外，任何一方违约均应承担违约责任。如买方违约则违约部分的保证金划归卖方,并赔偿给卖方造成的损失；如卖方原因造成不能履约的，卖方退回买方已付货款</w:t>
      </w:r>
      <w:r>
        <w:rPr>
          <w:rFonts w:hint="eastAsia" w:ascii="仿宋" w:hAnsi="仿宋" w:eastAsia="仿宋" w:cs="仿宋"/>
          <w:color w:val="auto"/>
          <w:sz w:val="24"/>
          <w:szCs w:val="24"/>
        </w:rPr>
        <w:t>。如买方原因逾期提货须征得卖方同意，</w:t>
      </w:r>
      <w:r>
        <w:rPr>
          <w:rFonts w:hint="eastAsia" w:ascii="仿宋" w:hAnsi="仿宋" w:eastAsia="仿宋" w:cs="仿宋"/>
          <w:color w:val="auto"/>
          <w:sz w:val="24"/>
          <w:szCs w:val="24"/>
          <w:lang w:eastAsia="zh-CN"/>
        </w:rPr>
        <w:t>否则</w:t>
      </w:r>
      <w:r>
        <w:rPr>
          <w:rFonts w:hint="eastAsia" w:ascii="仿宋" w:hAnsi="仿宋" w:eastAsia="仿宋" w:cs="仿宋"/>
          <w:color w:val="auto"/>
          <w:kern w:val="0"/>
          <w:sz w:val="24"/>
          <w:szCs w:val="24"/>
          <w:lang w:eastAsia="zh-CN"/>
        </w:rPr>
        <w:t>每逾期一天，</w:t>
      </w:r>
      <w:r>
        <w:rPr>
          <w:rFonts w:hint="eastAsia" w:ascii="仿宋" w:hAnsi="仿宋" w:eastAsia="仿宋" w:cs="仿宋"/>
          <w:color w:val="auto"/>
          <w:kern w:val="0"/>
          <w:sz w:val="24"/>
          <w:szCs w:val="24"/>
        </w:rPr>
        <w:t>卖方按</w:t>
      </w:r>
      <w:r>
        <w:rPr>
          <w:rFonts w:hint="eastAsia" w:ascii="仿宋" w:hAnsi="仿宋" w:eastAsia="仿宋" w:cs="仿宋"/>
          <w:color w:val="auto"/>
          <w:kern w:val="0"/>
          <w:sz w:val="24"/>
          <w:szCs w:val="24"/>
          <w:lang w:val="en-US" w:eastAsia="zh-CN"/>
        </w:rPr>
        <w:t>每天</w:t>
      </w:r>
      <w:r>
        <w:rPr>
          <w:rFonts w:hint="eastAsia" w:ascii="仿宋" w:hAnsi="仿宋" w:eastAsia="仿宋" w:cs="仿宋"/>
          <w:color w:val="auto"/>
          <w:kern w:val="0"/>
          <w:sz w:val="24"/>
          <w:szCs w:val="24"/>
          <w:lang w:eastAsia="zh-CN"/>
        </w:rPr>
        <w:t>每吨</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元</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lang w:val="en-US" w:eastAsia="zh-CN"/>
        </w:rPr>
        <w:t>计费</w:t>
      </w:r>
      <w:r>
        <w:rPr>
          <w:rFonts w:hint="eastAsia" w:ascii="仿宋" w:hAnsi="仿宋" w:eastAsia="仿宋" w:cs="仿宋"/>
          <w:color w:val="auto"/>
          <w:kern w:val="0"/>
          <w:sz w:val="24"/>
          <w:szCs w:val="24"/>
          <w:lang w:eastAsia="zh-CN"/>
        </w:rPr>
        <w:t>标准向买方收取逾期</w:t>
      </w:r>
      <w:r>
        <w:rPr>
          <w:rFonts w:hint="eastAsia" w:ascii="仿宋" w:hAnsi="仿宋" w:eastAsia="仿宋" w:cs="仿宋"/>
          <w:color w:val="auto"/>
          <w:kern w:val="0"/>
          <w:sz w:val="24"/>
          <w:szCs w:val="24"/>
        </w:rPr>
        <w:t>仓租；卖方对逾期超出30天未提的货物有权自行处置</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2"/>
          <w:sz w:val="24"/>
          <w:szCs w:val="24"/>
        </w:rPr>
        <w:t>处置所得扣除</w:t>
      </w:r>
      <w:r>
        <w:rPr>
          <w:rFonts w:hint="eastAsia" w:ascii="仿宋" w:hAnsi="仿宋" w:eastAsia="仿宋" w:cs="仿宋"/>
          <w:color w:val="auto"/>
          <w:kern w:val="0"/>
          <w:sz w:val="24"/>
          <w:szCs w:val="24"/>
          <w:lang w:eastAsia="zh-CN"/>
        </w:rPr>
        <w:t>逾期</w:t>
      </w:r>
      <w:r>
        <w:rPr>
          <w:rFonts w:hint="eastAsia" w:ascii="仿宋" w:hAnsi="仿宋" w:eastAsia="仿宋" w:cs="仿宋"/>
          <w:color w:val="auto"/>
          <w:kern w:val="0"/>
          <w:sz w:val="24"/>
          <w:szCs w:val="24"/>
        </w:rPr>
        <w:t>仓租</w:t>
      </w:r>
      <w:r>
        <w:rPr>
          <w:rFonts w:hint="eastAsia" w:ascii="仿宋" w:hAnsi="仿宋" w:eastAsia="仿宋" w:cs="仿宋"/>
          <w:color w:val="auto"/>
          <w:kern w:val="2"/>
          <w:sz w:val="24"/>
          <w:szCs w:val="24"/>
        </w:rPr>
        <w:t>等费用后，</w:t>
      </w:r>
      <w:r>
        <w:rPr>
          <w:rFonts w:hint="eastAsia" w:ascii="仿宋" w:hAnsi="仿宋" w:eastAsia="仿宋" w:cs="仿宋"/>
          <w:color w:val="auto"/>
          <w:kern w:val="2"/>
          <w:sz w:val="24"/>
          <w:szCs w:val="24"/>
          <w:lang w:eastAsia="zh-CN"/>
        </w:rPr>
        <w:t>未提部分剩余货款</w:t>
      </w:r>
      <w:r>
        <w:rPr>
          <w:rFonts w:hint="eastAsia" w:ascii="仿宋" w:hAnsi="仿宋" w:eastAsia="仿宋" w:cs="仿宋"/>
          <w:color w:val="auto"/>
          <w:kern w:val="2"/>
          <w:sz w:val="24"/>
          <w:szCs w:val="24"/>
        </w:rPr>
        <w:t>无息返还</w:t>
      </w:r>
      <w:r>
        <w:rPr>
          <w:rFonts w:hint="eastAsia" w:ascii="仿宋" w:hAnsi="仿宋" w:eastAsia="仿宋" w:cs="仿宋"/>
          <w:color w:val="auto"/>
          <w:kern w:val="2"/>
          <w:sz w:val="24"/>
          <w:szCs w:val="24"/>
          <w:lang w:eastAsia="zh-CN"/>
        </w:rPr>
        <w:t>买</w:t>
      </w:r>
      <w:r>
        <w:rPr>
          <w:rFonts w:hint="eastAsia" w:ascii="仿宋" w:hAnsi="仿宋" w:eastAsia="仿宋" w:cs="仿宋"/>
          <w:color w:val="auto"/>
          <w:kern w:val="2"/>
          <w:sz w:val="24"/>
          <w:szCs w:val="24"/>
        </w:rPr>
        <w:t>方。</w:t>
      </w:r>
      <w:r>
        <w:rPr>
          <w:rFonts w:hint="eastAsia" w:ascii="仿宋" w:hAnsi="仿宋" w:eastAsia="仿宋" w:cs="仿宋"/>
          <w:color w:val="auto"/>
          <w:sz w:val="24"/>
          <w:szCs w:val="24"/>
          <w:shd w:val="clear" w:color="auto" w:fill="FFFFFF"/>
          <w:lang w:eastAsia="zh-CN"/>
        </w:rPr>
        <w:t>违约方还</w:t>
      </w:r>
      <w:r>
        <w:rPr>
          <w:rFonts w:hint="eastAsia" w:ascii="仿宋" w:hAnsi="仿宋" w:eastAsia="仿宋" w:cs="仿宋"/>
          <w:color w:val="auto"/>
          <w:sz w:val="24"/>
          <w:szCs w:val="24"/>
          <w:shd w:val="clear" w:color="auto" w:fill="FFFFFF"/>
        </w:rPr>
        <w:t>须</w:t>
      </w:r>
      <w:r>
        <w:rPr>
          <w:rFonts w:hint="eastAsia" w:ascii="仿宋" w:hAnsi="仿宋" w:eastAsia="仿宋" w:cs="仿宋"/>
          <w:color w:val="auto"/>
          <w:kern w:val="1"/>
          <w:sz w:val="24"/>
          <w:szCs w:val="24"/>
        </w:rPr>
        <w:t>承担</w:t>
      </w:r>
      <w:r>
        <w:rPr>
          <w:rFonts w:hint="eastAsia" w:ascii="仿宋" w:hAnsi="仿宋" w:eastAsia="仿宋" w:cs="仿宋"/>
          <w:color w:val="auto"/>
          <w:kern w:val="1"/>
          <w:sz w:val="24"/>
          <w:szCs w:val="24"/>
          <w:lang w:eastAsia="zh-CN"/>
        </w:rPr>
        <w:t>守约</w:t>
      </w:r>
      <w:r>
        <w:rPr>
          <w:rFonts w:hint="eastAsia" w:ascii="仿宋" w:hAnsi="仿宋" w:eastAsia="仿宋" w:cs="仿宋"/>
          <w:color w:val="auto"/>
          <w:kern w:val="1"/>
          <w:sz w:val="24"/>
          <w:szCs w:val="24"/>
        </w:rPr>
        <w:t>方支付的包括但不限于诉讼费、执行费、律师费、旅差费、公告费、评估拍卖费等实现债权的费用。</w:t>
      </w:r>
      <w:r>
        <w:rPr>
          <w:rFonts w:hint="eastAsia" w:ascii="仿宋" w:hAnsi="仿宋" w:eastAsia="仿宋" w:cs="仿宋"/>
          <w:color w:val="auto"/>
          <w:kern w:val="0"/>
          <w:sz w:val="24"/>
          <w:szCs w:val="24"/>
        </w:rPr>
        <w:t>海南粮油批发市场有限公司(国家粮食海南交易中心）在本合同中不承担任何经济责任和违约责任。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争议解决方式:本合</w:t>
      </w:r>
      <w:r>
        <w:rPr>
          <w:rFonts w:hint="eastAsia" w:ascii="仿宋" w:hAnsi="仿宋" w:eastAsia="仿宋" w:cs="仿宋"/>
          <w:color w:val="auto"/>
          <w:sz w:val="24"/>
          <w:szCs w:val="24"/>
          <w:lang w:val="en-US" w:eastAsia="zh-CN"/>
        </w:rPr>
        <w:t>同履行过程</w:t>
      </w:r>
      <w:r>
        <w:rPr>
          <w:rFonts w:hint="eastAsia" w:ascii="仿宋" w:hAnsi="仿宋" w:eastAsia="仿宋" w:cs="仿宋"/>
          <w:color w:val="auto"/>
          <w:sz w:val="24"/>
          <w:szCs w:val="24"/>
        </w:rPr>
        <w:t>发生</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争议</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出现不明确责任</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情况由买卖双方协商解决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协商不成则向国家粮食海南交易中心书面申请调解，调解不成则任何一方均有权向本合同签订地人民法院提起诉讼解决。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十、</w:t>
      </w:r>
      <w:r>
        <w:rPr>
          <w:rFonts w:hint="eastAsia" w:ascii="仿宋" w:hAnsi="仿宋" w:eastAsia="仿宋" w:cs="仿宋"/>
          <w:color w:val="auto"/>
          <w:kern w:val="0"/>
          <w:sz w:val="24"/>
          <w:szCs w:val="24"/>
        </w:rPr>
        <w:t>合同签订地点：海口市五指山路22号康业花园西湖苑</w:t>
      </w:r>
      <w:r>
        <w:rPr>
          <w:rFonts w:hint="eastAsia" w:ascii="仿宋" w:hAnsi="仿宋" w:eastAsia="仿宋" w:cs="仿宋"/>
          <w:color w:val="auto"/>
          <w:kern w:val="0"/>
          <w:sz w:val="24"/>
          <w:szCs w:val="24"/>
          <w:lang w:val="en-US" w:eastAsia="zh-CN"/>
        </w:rPr>
        <w:t>E</w:t>
      </w:r>
      <w:r>
        <w:rPr>
          <w:rFonts w:hint="eastAsia" w:ascii="仿宋" w:hAnsi="仿宋" w:eastAsia="仿宋" w:cs="仿宋"/>
          <w:color w:val="auto"/>
          <w:kern w:val="0"/>
          <w:sz w:val="24"/>
          <w:szCs w:val="24"/>
        </w:rPr>
        <w:t>幢五楼国家粮食海南交易中心。</w:t>
      </w:r>
      <w:r>
        <w:rPr>
          <w:rFonts w:hint="eastAsia" w:ascii="仿宋" w:hAnsi="仿宋" w:eastAsia="仿宋" w:cs="仿宋"/>
          <w:color w:val="auto"/>
          <w:kern w:val="0"/>
          <w:sz w:val="24"/>
          <w:szCs w:val="24"/>
          <w:lang w:eastAsia="zh-CN"/>
        </w:rPr>
        <w:t>以本合同下列买卖双方提供的地址、交易代表、电话及传真作为有效的邮寄送达地址和联系方式。</w:t>
      </w:r>
      <w:r>
        <w:rPr>
          <w:rFonts w:hint="eastAsia" w:ascii="仿宋" w:hAnsi="仿宋" w:eastAsia="仿宋" w:cs="仿宋"/>
          <w:color w:val="auto"/>
          <w:kern w:val="0"/>
          <w:sz w:val="24"/>
          <w:szCs w:val="24"/>
        </w:rPr>
        <w:t>如果发生纠纷双方协商未果，进入诉讼程序，则前述地址为法院送达确认书所确认的地址。</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十</w:t>
      </w:r>
      <w:r>
        <w:rPr>
          <w:rFonts w:hint="eastAsia" w:ascii="仿宋" w:hAnsi="仿宋" w:eastAsia="仿宋" w:cs="仿宋"/>
          <w:color w:val="auto"/>
          <w:kern w:val="0"/>
          <w:sz w:val="24"/>
          <w:szCs w:val="24"/>
          <w:lang w:eastAsia="zh-CN"/>
        </w:rPr>
        <w:t>一</w:t>
      </w:r>
      <w:r>
        <w:rPr>
          <w:rFonts w:hint="eastAsia" w:ascii="仿宋" w:hAnsi="仿宋" w:eastAsia="仿宋" w:cs="仿宋"/>
          <w:color w:val="auto"/>
          <w:kern w:val="0"/>
          <w:sz w:val="24"/>
          <w:szCs w:val="24"/>
        </w:rPr>
        <w:t>、买卖双方须遵守当期《交易公告》</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本合同自</w:t>
      </w:r>
      <w:r>
        <w:rPr>
          <w:rFonts w:hint="eastAsia" w:ascii="仿宋" w:hAnsi="仿宋" w:eastAsia="仿宋" w:cs="仿宋"/>
          <w:color w:val="auto"/>
          <w:sz w:val="24"/>
          <w:szCs w:val="24"/>
          <w:lang w:val="en-US" w:eastAsia="zh-CN"/>
        </w:rPr>
        <w:t>交易标的成交</w:t>
      </w:r>
      <w:r>
        <w:rPr>
          <w:rFonts w:hint="eastAsia" w:ascii="仿宋" w:hAnsi="仿宋" w:eastAsia="仿宋" w:cs="仿宋"/>
          <w:color w:val="auto"/>
          <w:sz w:val="24"/>
          <w:szCs w:val="24"/>
        </w:rPr>
        <w:t>之日起生效，</w:t>
      </w:r>
      <w:r>
        <w:rPr>
          <w:rFonts w:hint="eastAsia" w:ascii="仿宋" w:hAnsi="仿宋" w:eastAsia="仿宋" w:cs="仿宋"/>
          <w:color w:val="auto"/>
          <w:sz w:val="24"/>
          <w:szCs w:val="24"/>
          <w:lang w:val="en-US" w:eastAsia="zh-CN"/>
        </w:rPr>
        <w:t>至买卖</w:t>
      </w:r>
      <w:r>
        <w:rPr>
          <w:rFonts w:hint="eastAsia" w:ascii="仿宋" w:hAnsi="仿宋" w:eastAsia="仿宋" w:cs="仿宋"/>
          <w:color w:val="auto"/>
          <w:sz w:val="24"/>
          <w:szCs w:val="24"/>
        </w:rPr>
        <w:t>双方结清费用</w:t>
      </w:r>
      <w:r>
        <w:rPr>
          <w:rFonts w:hint="eastAsia" w:ascii="仿宋" w:hAnsi="仿宋" w:eastAsia="仿宋" w:cs="仿宋"/>
          <w:color w:val="auto"/>
          <w:sz w:val="24"/>
          <w:szCs w:val="24"/>
          <w:lang w:val="en-US" w:eastAsia="zh-CN"/>
        </w:rPr>
        <w:t>及合同</w:t>
      </w:r>
      <w:r>
        <w:rPr>
          <w:rFonts w:hint="eastAsia" w:ascii="仿宋" w:hAnsi="仿宋" w:eastAsia="仿宋" w:cs="仿宋"/>
          <w:color w:val="auto"/>
          <w:sz w:val="24"/>
          <w:szCs w:val="24"/>
        </w:rPr>
        <w:t>履行完毕时终止。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十</w:t>
      </w:r>
      <w:r>
        <w:rPr>
          <w:rFonts w:hint="eastAsia" w:ascii="仿宋" w:hAnsi="仿宋" w:eastAsia="仿宋" w:cs="仿宋"/>
          <w:color w:val="auto"/>
          <w:kern w:val="0"/>
          <w:sz w:val="24"/>
          <w:szCs w:val="24"/>
          <w:lang w:eastAsia="zh-CN"/>
        </w:rPr>
        <w:t>二</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本合同</w:t>
      </w:r>
      <w:r>
        <w:rPr>
          <w:rFonts w:hint="eastAsia" w:ascii="仿宋" w:hAnsi="仿宋" w:eastAsia="仿宋" w:cs="仿宋"/>
          <w:color w:val="auto"/>
          <w:kern w:val="0"/>
          <w:sz w:val="24"/>
          <w:szCs w:val="24"/>
        </w:rPr>
        <w:t>未尽事宜</w:t>
      </w:r>
      <w:r>
        <w:rPr>
          <w:rFonts w:hint="eastAsia" w:ascii="仿宋" w:hAnsi="仿宋" w:eastAsia="仿宋" w:cs="仿宋"/>
          <w:color w:val="auto"/>
          <w:kern w:val="0"/>
          <w:sz w:val="24"/>
          <w:szCs w:val="24"/>
          <w:lang w:val="en-US" w:eastAsia="zh-CN"/>
        </w:rPr>
        <w:t>由</w:t>
      </w:r>
      <w:r>
        <w:rPr>
          <w:rFonts w:hint="eastAsia" w:ascii="仿宋" w:hAnsi="仿宋" w:eastAsia="仿宋" w:cs="仿宋"/>
          <w:color w:val="auto"/>
          <w:kern w:val="0"/>
          <w:sz w:val="24"/>
          <w:szCs w:val="24"/>
        </w:rPr>
        <w:t>买卖双方按照《国家粮食海南交易中心竞价交易规则（试行）》的相关条款和此次竞价</w:t>
      </w:r>
      <w:r>
        <w:rPr>
          <w:rFonts w:hint="eastAsia" w:ascii="仿宋" w:hAnsi="仿宋" w:eastAsia="仿宋" w:cs="仿宋"/>
          <w:color w:val="auto"/>
          <w:kern w:val="0"/>
          <w:sz w:val="24"/>
          <w:szCs w:val="24"/>
          <w:lang w:val="en-US" w:eastAsia="zh-CN"/>
        </w:rPr>
        <w:t>交易</w:t>
      </w:r>
      <w:r>
        <w:rPr>
          <w:rFonts w:hint="eastAsia" w:ascii="仿宋" w:hAnsi="仿宋" w:eastAsia="仿宋" w:cs="仿宋"/>
          <w:color w:val="auto"/>
          <w:kern w:val="0"/>
          <w:sz w:val="24"/>
          <w:szCs w:val="24"/>
        </w:rPr>
        <w:t>销售公告、交易清单的规定及按本合同第九条约定处理。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、本合同一式叁份，买卖双方、确认单位各执一份。</w:t>
      </w:r>
    </w:p>
    <w:tbl>
      <w:tblPr>
        <w:tblStyle w:val="6"/>
        <w:tblpPr w:leftFromText="180" w:rightFromText="180" w:vertAnchor="text" w:horzAnchor="page" w:tblpX="1712" w:tblpY="212"/>
        <w:tblOverlap w:val="never"/>
        <w:tblW w:w="88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8"/>
        <w:gridCol w:w="4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买方单位：</w:t>
            </w:r>
          </w:p>
        </w:tc>
        <w:tc>
          <w:tcPr>
            <w:tcW w:w="4404"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bCs/>
                <w:kern w:val="0"/>
                <w:sz w:val="24"/>
                <w:szCs w:val="24"/>
              </w:rPr>
              <w:t>卖方单位：</w:t>
            </w:r>
            <w:r>
              <w:rPr>
                <w:rFonts w:hint="eastAsia" w:ascii="仿宋" w:hAnsi="仿宋" w:eastAsia="仿宋" w:cs="仿宋"/>
                <w:bCs/>
                <w:kern w:val="0"/>
                <w:sz w:val="24"/>
                <w:szCs w:val="24"/>
                <w:lang w:val="en-US" w:eastAsia="zh-CN"/>
              </w:rPr>
              <w:t>海南储备粮管理有限公司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8" w:hRule="exact"/>
        </w:trPr>
        <w:tc>
          <w:tcPr>
            <w:tcW w:w="4428"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地</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址：</w:t>
            </w:r>
          </w:p>
        </w:tc>
        <w:tc>
          <w:tcPr>
            <w:tcW w:w="4404" w:type="dxa"/>
            <w:shd w:val="clear" w:color="auto" w:fill="auto"/>
            <w:vAlign w:val="top"/>
          </w:tcPr>
          <w:p>
            <w:pPr>
              <w:keepNext w:val="0"/>
              <w:keepLines w:val="0"/>
              <w:pageBreakBefore w:val="0"/>
              <w:widowControl w:val="0"/>
              <w:kinsoku/>
              <w:wordWrap/>
              <w:overflowPunct/>
              <w:topLinePunct w:val="0"/>
              <w:bidi w:val="0"/>
              <w:snapToGrid/>
              <w:spacing w:line="400" w:lineRule="exact"/>
              <w:ind w:left="1155" w:hanging="1320" w:hangingChars="550"/>
              <w:jc w:val="left"/>
              <w:textAlignment w:val="auto"/>
              <w:rPr>
                <w:rFonts w:hint="default" w:ascii="仿宋" w:hAnsi="仿宋" w:eastAsia="仿宋" w:cs="仿宋"/>
                <w:sz w:val="24"/>
                <w:szCs w:val="24"/>
                <w:lang w:val="en-US" w:eastAsia="zh-CN"/>
              </w:rPr>
            </w:pPr>
            <w:r>
              <w:rPr>
                <w:rFonts w:hint="eastAsia" w:ascii="仿宋" w:hAnsi="仿宋" w:eastAsia="仿宋" w:cs="仿宋"/>
                <w:bCs/>
                <w:kern w:val="0"/>
                <w:sz w:val="24"/>
                <w:szCs w:val="24"/>
              </w:rPr>
              <w:t>地</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址：</w:t>
            </w:r>
            <w:r>
              <w:rPr>
                <w:rFonts w:hint="eastAsia" w:ascii="仿宋" w:hAnsi="仿宋" w:eastAsia="仿宋" w:cs="仿宋"/>
                <w:bCs/>
                <w:kern w:val="0"/>
                <w:sz w:val="24"/>
                <w:szCs w:val="24"/>
                <w:lang w:eastAsia="zh-CN"/>
              </w:rPr>
              <w:t>海南省海口市秀英区</w:t>
            </w:r>
            <w:r>
              <w:rPr>
                <w:rFonts w:hint="eastAsia" w:ascii="仿宋" w:hAnsi="仿宋" w:eastAsia="仿宋" w:cs="仿宋"/>
                <w:bCs/>
                <w:kern w:val="0"/>
                <w:sz w:val="24"/>
                <w:szCs w:val="24"/>
                <w:lang w:val="en-US" w:eastAsia="zh-CN"/>
              </w:rPr>
              <w:t>白水塘路19号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78" w:hRule="atLeast"/>
        </w:trPr>
        <w:tc>
          <w:tcPr>
            <w:tcW w:w="4428" w:type="dxa"/>
            <w:shd w:val="clear" w:color="auto" w:fill="auto"/>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交易代表：</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电</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话：</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传</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真：</w:t>
            </w:r>
          </w:p>
        </w:tc>
        <w:tc>
          <w:tcPr>
            <w:tcW w:w="4404" w:type="dxa"/>
            <w:shd w:val="clear" w:color="auto" w:fill="auto"/>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交易代表:</w:t>
            </w:r>
          </w:p>
          <w:p>
            <w:pPr>
              <w:keepNext w:val="0"/>
              <w:keepLines w:val="0"/>
              <w:pageBreakBefore w:val="0"/>
              <w:widowControl w:val="0"/>
              <w:kinsoku/>
              <w:wordWrap/>
              <w:overflowPunct/>
              <w:topLinePunct w:val="0"/>
              <w:bidi w:val="0"/>
              <w:snapToGrid/>
              <w:spacing w:line="400" w:lineRule="exact"/>
              <w:jc w:val="left"/>
              <w:textAlignment w:val="auto"/>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rPr>
              <w:t>电</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话：</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真</w:t>
            </w:r>
            <w:r>
              <w:rPr>
                <w:rFonts w:hint="eastAsia" w:ascii="仿宋" w:hAnsi="仿宋" w:eastAsia="仿宋" w:cs="仿宋"/>
                <w:bCs/>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trPr>
        <w:tc>
          <w:tcPr>
            <w:tcW w:w="4428"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确认单位：海南粮油批发市场有限公司 </w:t>
            </w:r>
          </w:p>
          <w:p>
            <w:pPr>
              <w:keepNext w:val="0"/>
              <w:keepLines w:val="0"/>
              <w:pageBreakBefore w:val="0"/>
              <w:kinsoku/>
              <w:overflowPunct/>
              <w:topLinePunct w:val="0"/>
              <w:bidi w:val="0"/>
              <w:snapToGrid/>
              <w:spacing w:line="400" w:lineRule="exact"/>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（国家粮食海南交易中心）</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bookmarkStart w:id="0" w:name="buye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    话： 0898-65362283</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widowControl/>
              <w:kinsoku/>
              <w:wordWrap w:val="0"/>
              <w:overflowPunct/>
              <w:topLinePunct w:val="0"/>
              <w:bidi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传    真： 0898-68653001  </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rPr>
      </w:pPr>
      <w:bookmarkStart w:id="1" w:name="seller"/>
      <w:bookmarkEnd w:id="1"/>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p>
    <w:sectPr>
      <w:pgSz w:w="11906" w:h="16838"/>
      <w:pgMar w:top="720" w:right="1474" w:bottom="72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F9776"/>
    <w:multiLevelType w:val="singleLevel"/>
    <w:tmpl w:val="CD1F9776"/>
    <w:lvl w:ilvl="0" w:tentative="0">
      <w:start w:val="1"/>
      <w:numFmt w:val="chineseCounting"/>
      <w:suff w:val="nothing"/>
      <w:lvlText w:val="%1、"/>
      <w:lvlJc w:val="left"/>
      <w:rPr>
        <w:rFonts w:hint="eastAsia"/>
      </w:rPr>
    </w:lvl>
  </w:abstractNum>
  <w:abstractNum w:abstractNumId="1">
    <w:nsid w:val="020E04DD"/>
    <w:multiLevelType w:val="singleLevel"/>
    <w:tmpl w:val="020E04D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OTQ1NWFjN2I3ODA5YzczNGFiMWM4N2M1M2EzZDcifQ=="/>
  </w:docVars>
  <w:rsids>
    <w:rsidRoot w:val="002C3C9F"/>
    <w:rsid w:val="0016413A"/>
    <w:rsid w:val="001727BC"/>
    <w:rsid w:val="001B4713"/>
    <w:rsid w:val="001C0F74"/>
    <w:rsid w:val="001D003F"/>
    <w:rsid w:val="0024791F"/>
    <w:rsid w:val="00267080"/>
    <w:rsid w:val="00271A3B"/>
    <w:rsid w:val="002A1628"/>
    <w:rsid w:val="002C3C9F"/>
    <w:rsid w:val="00303FCF"/>
    <w:rsid w:val="00316C1D"/>
    <w:rsid w:val="0039383D"/>
    <w:rsid w:val="003A6747"/>
    <w:rsid w:val="00415247"/>
    <w:rsid w:val="0041619F"/>
    <w:rsid w:val="0044706F"/>
    <w:rsid w:val="00470374"/>
    <w:rsid w:val="0047207B"/>
    <w:rsid w:val="00482E37"/>
    <w:rsid w:val="004B3E4B"/>
    <w:rsid w:val="004C2C8B"/>
    <w:rsid w:val="004D7762"/>
    <w:rsid w:val="004E4267"/>
    <w:rsid w:val="004E7A40"/>
    <w:rsid w:val="00502FE9"/>
    <w:rsid w:val="005136D3"/>
    <w:rsid w:val="00551BF7"/>
    <w:rsid w:val="005575E1"/>
    <w:rsid w:val="005813DE"/>
    <w:rsid w:val="00590B53"/>
    <w:rsid w:val="005A4B44"/>
    <w:rsid w:val="006A5034"/>
    <w:rsid w:val="006C1ECE"/>
    <w:rsid w:val="006D7F3B"/>
    <w:rsid w:val="006E1F6E"/>
    <w:rsid w:val="007069DE"/>
    <w:rsid w:val="00707FF7"/>
    <w:rsid w:val="0071538F"/>
    <w:rsid w:val="007574C8"/>
    <w:rsid w:val="00774848"/>
    <w:rsid w:val="00790EDE"/>
    <w:rsid w:val="007C0B55"/>
    <w:rsid w:val="007F0EBD"/>
    <w:rsid w:val="007F1033"/>
    <w:rsid w:val="00841610"/>
    <w:rsid w:val="008440C3"/>
    <w:rsid w:val="00857615"/>
    <w:rsid w:val="00864A3C"/>
    <w:rsid w:val="00872EF2"/>
    <w:rsid w:val="008F6F34"/>
    <w:rsid w:val="0092150A"/>
    <w:rsid w:val="0092657B"/>
    <w:rsid w:val="00987C14"/>
    <w:rsid w:val="00A54AB8"/>
    <w:rsid w:val="00AA18E8"/>
    <w:rsid w:val="00B01783"/>
    <w:rsid w:val="00B9376F"/>
    <w:rsid w:val="00BB443F"/>
    <w:rsid w:val="00BF595B"/>
    <w:rsid w:val="00C142E0"/>
    <w:rsid w:val="00C23520"/>
    <w:rsid w:val="00C24572"/>
    <w:rsid w:val="00C64CB4"/>
    <w:rsid w:val="00C97A0E"/>
    <w:rsid w:val="00CB0C68"/>
    <w:rsid w:val="00CE6393"/>
    <w:rsid w:val="00CF119C"/>
    <w:rsid w:val="00CF6939"/>
    <w:rsid w:val="00D514CD"/>
    <w:rsid w:val="00D577E4"/>
    <w:rsid w:val="00D76A55"/>
    <w:rsid w:val="00D76A77"/>
    <w:rsid w:val="00DB2762"/>
    <w:rsid w:val="00DD03DC"/>
    <w:rsid w:val="00E35ED5"/>
    <w:rsid w:val="00E54096"/>
    <w:rsid w:val="00E67632"/>
    <w:rsid w:val="00E72276"/>
    <w:rsid w:val="00E73D4E"/>
    <w:rsid w:val="00E82344"/>
    <w:rsid w:val="00EB458A"/>
    <w:rsid w:val="00EC2334"/>
    <w:rsid w:val="00EE61D3"/>
    <w:rsid w:val="00F50D76"/>
    <w:rsid w:val="00F6436A"/>
    <w:rsid w:val="02A1134B"/>
    <w:rsid w:val="041B53D1"/>
    <w:rsid w:val="071D1E22"/>
    <w:rsid w:val="076F6D11"/>
    <w:rsid w:val="093B4D01"/>
    <w:rsid w:val="09F36A60"/>
    <w:rsid w:val="0A873A6E"/>
    <w:rsid w:val="0A9452B1"/>
    <w:rsid w:val="0C4E1FB4"/>
    <w:rsid w:val="0EE8213C"/>
    <w:rsid w:val="1258280C"/>
    <w:rsid w:val="126223BF"/>
    <w:rsid w:val="13010F23"/>
    <w:rsid w:val="13C856FA"/>
    <w:rsid w:val="14B8345F"/>
    <w:rsid w:val="15DF1929"/>
    <w:rsid w:val="17CE4B1C"/>
    <w:rsid w:val="1CD20C50"/>
    <w:rsid w:val="1F617C62"/>
    <w:rsid w:val="270D01FF"/>
    <w:rsid w:val="27631017"/>
    <w:rsid w:val="28A1624E"/>
    <w:rsid w:val="28EA0DC1"/>
    <w:rsid w:val="29F67ED3"/>
    <w:rsid w:val="2B5A4D08"/>
    <w:rsid w:val="2B77261D"/>
    <w:rsid w:val="2B8C3228"/>
    <w:rsid w:val="2BD329EB"/>
    <w:rsid w:val="2D1F7B8D"/>
    <w:rsid w:val="2E554E55"/>
    <w:rsid w:val="2FF636CB"/>
    <w:rsid w:val="31306C9B"/>
    <w:rsid w:val="318D7248"/>
    <w:rsid w:val="319C3715"/>
    <w:rsid w:val="31D41787"/>
    <w:rsid w:val="33DC3DB2"/>
    <w:rsid w:val="34E91F7F"/>
    <w:rsid w:val="34EB196F"/>
    <w:rsid w:val="355F3110"/>
    <w:rsid w:val="383D61F0"/>
    <w:rsid w:val="3B8F6176"/>
    <w:rsid w:val="3F217E27"/>
    <w:rsid w:val="402B7F19"/>
    <w:rsid w:val="40B2299C"/>
    <w:rsid w:val="41163BF2"/>
    <w:rsid w:val="4363391E"/>
    <w:rsid w:val="4453169E"/>
    <w:rsid w:val="47C06B91"/>
    <w:rsid w:val="48FE2CF7"/>
    <w:rsid w:val="4B4F44F2"/>
    <w:rsid w:val="4B581630"/>
    <w:rsid w:val="4E0C3C54"/>
    <w:rsid w:val="50780C50"/>
    <w:rsid w:val="536563EF"/>
    <w:rsid w:val="547674BB"/>
    <w:rsid w:val="5542691C"/>
    <w:rsid w:val="564C1966"/>
    <w:rsid w:val="56764BE0"/>
    <w:rsid w:val="57A6760C"/>
    <w:rsid w:val="59DC1343"/>
    <w:rsid w:val="59F21665"/>
    <w:rsid w:val="5D513F2D"/>
    <w:rsid w:val="60684149"/>
    <w:rsid w:val="6091388E"/>
    <w:rsid w:val="6482105F"/>
    <w:rsid w:val="64CA2AF0"/>
    <w:rsid w:val="64FC734F"/>
    <w:rsid w:val="679064CF"/>
    <w:rsid w:val="67EF373E"/>
    <w:rsid w:val="685A6B4C"/>
    <w:rsid w:val="68E96D8E"/>
    <w:rsid w:val="6A211217"/>
    <w:rsid w:val="6A61315C"/>
    <w:rsid w:val="6C452CC4"/>
    <w:rsid w:val="6C8B74CA"/>
    <w:rsid w:val="6D3C416E"/>
    <w:rsid w:val="6DFE7BD7"/>
    <w:rsid w:val="70313573"/>
    <w:rsid w:val="707F7784"/>
    <w:rsid w:val="708E5CFB"/>
    <w:rsid w:val="70A1537C"/>
    <w:rsid w:val="7ACA63CD"/>
    <w:rsid w:val="7CA15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index 1"/>
    <w:basedOn w:val="1"/>
    <w:next w:val="1"/>
    <w:qFormat/>
    <w:uiPriority w:val="0"/>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qFormat/>
    <w:uiPriority w:val="0"/>
    <w:rPr>
      <w:rFonts w:ascii="仿宋_GB2312" w:hAnsi="Times New Roman" w:eastAsia="仿宋_GB2312" w:cs="Times New Roman"/>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327</Words>
  <Characters>1866</Characters>
  <Lines>15</Lines>
  <Paragraphs>4</Paragraphs>
  <TotalTime>7</TotalTime>
  <ScaleCrop>false</ScaleCrop>
  <LinksUpToDate>false</LinksUpToDate>
  <CharactersWithSpaces>2189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2019-03-26T08:04:00Z</dcterms:created>
  <dc:creator>邢益畅</dc:creator>
  <cp:lastModifiedBy>admin</cp:lastModifiedBy>
  <cp:lastPrinted>2023-03-23T07:58:00Z</cp:lastPrinted>
  <dcterms:modified xsi:type="dcterms:W3CDTF">2023-07-17T03:45:05Z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5395495BF008442CBC70CA6D40B0C888</vt:lpwstr>
  </property>
</Properties>
</file>